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F5" w:rsidRPr="00607BAF" w:rsidRDefault="00DE39F5" w:rsidP="00DE39F5">
      <w:pPr>
        <w:pStyle w:val="Heading1"/>
        <w:rPr>
          <w:rFonts w:cs="Times New Roman"/>
          <w:szCs w:val="26"/>
        </w:rPr>
      </w:pPr>
      <w:bookmarkStart w:id="0" w:name="_Toc125714730"/>
      <w:bookmarkStart w:id="1" w:name="_Toc125714815"/>
      <w:r>
        <w:rPr>
          <w:rFonts w:cs="Times New Roman"/>
          <w:szCs w:val="26"/>
        </w:rPr>
        <w:br w:type="page"/>
      </w:r>
      <w:bookmarkStart w:id="2" w:name="_Toc125714728"/>
      <w:bookmarkStart w:id="3" w:name="_Toc125714813"/>
      <w:r w:rsidRPr="00607BAF">
        <w:rPr>
          <w:rFonts w:cs="Times New Roman"/>
          <w:szCs w:val="26"/>
        </w:rPr>
        <w:lastRenderedPageBreak/>
        <w:t>CHƯƠNG V</w:t>
      </w:r>
      <w:bookmarkEnd w:id="2"/>
      <w:bookmarkEnd w:id="3"/>
    </w:p>
    <w:p w:rsidR="00DE39F5" w:rsidRPr="00607BAF" w:rsidRDefault="00DE39F5" w:rsidP="00DE39F5">
      <w:pPr>
        <w:pStyle w:val="Heading1"/>
        <w:rPr>
          <w:rFonts w:cs="Times New Roman"/>
          <w:szCs w:val="26"/>
        </w:rPr>
      </w:pPr>
      <w:bookmarkStart w:id="4" w:name="_Toc105599897"/>
      <w:bookmarkStart w:id="5" w:name="_Toc125714729"/>
      <w:bookmarkStart w:id="6" w:name="_Toc125714814"/>
      <w:r w:rsidRPr="00607BAF">
        <w:rPr>
          <w:rFonts w:cs="Times New Roman"/>
        </w:rPr>
        <w:t>PHƯƠNG ÁN CẢI TẠO, PHỤC HỒI MÔI TRƯỜNG, PHƯƠNG ÁN BỒI HOÀN ĐA DẠNG SINH HỌC</w:t>
      </w:r>
      <w:bookmarkEnd w:id="4"/>
      <w:bookmarkEnd w:id="5"/>
      <w:bookmarkEnd w:id="6"/>
    </w:p>
    <w:p w:rsidR="00DE39F5" w:rsidRPr="00607BAF" w:rsidRDefault="00DE39F5" w:rsidP="00DE39F5">
      <w:pPr>
        <w:pStyle w:val="Vnbnnidung0"/>
        <w:widowControl/>
        <w:adjustRightInd w:val="0"/>
        <w:snapToGrid w:val="0"/>
        <w:spacing w:after="0" w:line="240" w:lineRule="auto"/>
        <w:ind w:firstLine="0"/>
        <w:jc w:val="center"/>
        <w:rPr>
          <w:rStyle w:val="Vnbnnidung"/>
          <w:i/>
          <w:iCs/>
          <w:lang w:eastAsia="vi-VN"/>
        </w:rPr>
      </w:pPr>
      <w:r w:rsidRPr="00607BAF">
        <w:rPr>
          <w:rStyle w:val="Vnbnnidung"/>
          <w:i/>
          <w:iCs/>
          <w:lang w:eastAsia="vi-VN"/>
        </w:rPr>
        <w:t xml:space="preserve">(Dự án không thuộc các dự án khai thác khoáng sản, dự án </w:t>
      </w:r>
      <w:r w:rsidRPr="00607BAF">
        <w:rPr>
          <w:rStyle w:val="Vnbnnidung"/>
          <w:i/>
          <w:iCs/>
          <w:u w:color="FF0000"/>
          <w:lang w:eastAsia="vi-VN"/>
        </w:rPr>
        <w:t>chôn lấp</w:t>
      </w:r>
      <w:r w:rsidRPr="00607BAF">
        <w:rPr>
          <w:rStyle w:val="Vnbnnidung"/>
          <w:i/>
          <w:iCs/>
          <w:lang w:eastAsia="vi-VN"/>
        </w:rPr>
        <w:t xml:space="preserve"> chất thải, dự án gây </w:t>
      </w:r>
      <w:r w:rsidRPr="00607BAF">
        <w:rPr>
          <w:rStyle w:val="Vnbnnidung"/>
          <w:i/>
          <w:iCs/>
        </w:rPr>
        <w:t xml:space="preserve">tổn thất, </w:t>
      </w:r>
      <w:r w:rsidRPr="00607BAF">
        <w:rPr>
          <w:rStyle w:val="Vnbnnidung"/>
          <w:i/>
          <w:iCs/>
          <w:lang w:eastAsia="vi-VN"/>
        </w:rPr>
        <w:t>suy giảm đa dạng sinh học)</w:t>
      </w:r>
    </w:p>
    <w:p w:rsidR="00DE39F5" w:rsidRPr="00607BAF" w:rsidRDefault="00DE39F5" w:rsidP="00DE39F5">
      <w:pPr>
        <w:spacing w:before="120" w:line="320" w:lineRule="auto"/>
        <w:ind w:firstLine="562"/>
        <w:rPr>
          <w:rFonts w:eastAsiaTheme="majorEastAsia"/>
          <w:b/>
          <w:szCs w:val="26"/>
        </w:rPr>
      </w:pPr>
      <w:r w:rsidRPr="00607BAF">
        <w:rPr>
          <w:szCs w:val="26"/>
        </w:rPr>
        <w:br w:type="page"/>
      </w:r>
    </w:p>
    <w:p w:rsidR="00BB6420" w:rsidRPr="00607BAF" w:rsidRDefault="00BB6420" w:rsidP="00BB6420">
      <w:pPr>
        <w:pStyle w:val="Heading1"/>
        <w:rPr>
          <w:rFonts w:cs="Times New Roman"/>
          <w:szCs w:val="26"/>
        </w:rPr>
      </w:pPr>
      <w:bookmarkStart w:id="7" w:name="_GoBack"/>
      <w:bookmarkEnd w:id="7"/>
      <w:r w:rsidRPr="00607BAF">
        <w:rPr>
          <w:rFonts w:cs="Times New Roman"/>
          <w:szCs w:val="26"/>
        </w:rPr>
        <w:lastRenderedPageBreak/>
        <w:t>CHƯƠNG VI</w:t>
      </w:r>
      <w:bookmarkEnd w:id="0"/>
      <w:bookmarkEnd w:id="1"/>
    </w:p>
    <w:p w:rsidR="00BB6420" w:rsidRPr="00607BAF" w:rsidRDefault="00BB6420" w:rsidP="00BB6420">
      <w:pPr>
        <w:pStyle w:val="Heading1"/>
        <w:rPr>
          <w:rFonts w:cs="Times New Roman"/>
          <w:szCs w:val="26"/>
        </w:rPr>
      </w:pPr>
      <w:bookmarkStart w:id="8" w:name="_Toc105599899"/>
      <w:bookmarkStart w:id="9" w:name="_Toc125714731"/>
      <w:bookmarkStart w:id="10" w:name="_Toc125714816"/>
      <w:r w:rsidRPr="00607BAF">
        <w:rPr>
          <w:rFonts w:cs="Times New Roman"/>
          <w:szCs w:val="26"/>
        </w:rPr>
        <w:t>NỘI DUNG ĐỀ NGHỊ CẤP GIẤY PHÉP MÔI TRƯỜNG</w:t>
      </w:r>
      <w:bookmarkEnd w:id="8"/>
      <w:bookmarkEnd w:id="9"/>
      <w:bookmarkEnd w:id="10"/>
    </w:p>
    <w:p w:rsidR="00BB6420" w:rsidRPr="00607BAF" w:rsidRDefault="00BB6420" w:rsidP="00BB6420">
      <w:pPr>
        <w:pStyle w:val="Heading2"/>
        <w:rPr>
          <w:rStyle w:val="Vnbnnidung"/>
        </w:rPr>
      </w:pPr>
      <w:bookmarkStart w:id="11" w:name="bookmark619"/>
      <w:bookmarkStart w:id="12" w:name="_Toc105599900"/>
      <w:bookmarkStart w:id="13" w:name="_Toc125714732"/>
      <w:bookmarkStart w:id="14" w:name="_Toc125714817"/>
      <w:r w:rsidRPr="00607BAF">
        <w:rPr>
          <w:rStyle w:val="Vnbnnidung"/>
        </w:rPr>
        <w:t>6.1</w:t>
      </w:r>
      <w:bookmarkEnd w:id="11"/>
      <w:r w:rsidRPr="00607BAF">
        <w:rPr>
          <w:rStyle w:val="Vnbnnidung"/>
        </w:rPr>
        <w:t>. Nội dung đề nghị cấp phép đối với nước thải:</w:t>
      </w:r>
      <w:bookmarkEnd w:id="12"/>
      <w:bookmarkEnd w:id="13"/>
      <w:bookmarkEnd w:id="14"/>
    </w:p>
    <w:p w:rsidR="00BB6420" w:rsidRPr="00607BAF" w:rsidRDefault="00BB6420" w:rsidP="00BB6420">
      <w:pPr>
        <w:pStyle w:val="Heading2"/>
      </w:pPr>
      <w:bookmarkStart w:id="15" w:name="_Toc105599901"/>
      <w:bookmarkStart w:id="16" w:name="_Toc125714733"/>
      <w:bookmarkStart w:id="17" w:name="_Toc125714818"/>
      <w:r w:rsidRPr="00607BAF">
        <w:t>6.1.1. Nguồn phát sinh nước thải</w:t>
      </w:r>
      <w:bookmarkEnd w:id="15"/>
      <w:bookmarkEnd w:id="16"/>
      <w:bookmarkEnd w:id="17"/>
    </w:p>
    <w:p w:rsidR="00BB6420" w:rsidRPr="00607BAF" w:rsidRDefault="00BB6420" w:rsidP="00BB6420">
      <w:pPr>
        <w:rPr>
          <w:rStyle w:val="Vnbnnidung"/>
          <w:szCs w:val="26"/>
        </w:rPr>
      </w:pPr>
      <w:r w:rsidRPr="00607BAF">
        <w:rPr>
          <w:rStyle w:val="Vnbnnidung"/>
          <w:szCs w:val="26"/>
        </w:rPr>
        <w:t>- Nguồn số 01: Nước thải sinh hoạt</w:t>
      </w:r>
    </w:p>
    <w:p w:rsidR="00BB6420" w:rsidRPr="00607BAF" w:rsidRDefault="00BB6420" w:rsidP="00BB6420">
      <w:pPr>
        <w:rPr>
          <w:szCs w:val="26"/>
        </w:rPr>
      </w:pPr>
      <w:r w:rsidRPr="00607BAF">
        <w:rPr>
          <w:rStyle w:val="Vnbnnidung"/>
          <w:szCs w:val="26"/>
        </w:rPr>
        <w:t>+ Nước thải sinh hoạt phát sinh từ các khu nhà vệ sinh, được thu gom, xử lý sơ bộ qua bể tự hoại 3 ngăn, sau đó dẫn về bể gom nước thải của hệ thống XLNT sinh hoạt, công suất 24 m</w:t>
      </w:r>
      <w:r w:rsidRPr="00607BAF">
        <w:rPr>
          <w:rStyle w:val="Vnbnnidung"/>
          <w:szCs w:val="26"/>
          <w:vertAlign w:val="superscript"/>
        </w:rPr>
        <w:t>3</w:t>
      </w:r>
      <w:r w:rsidRPr="00607BAF">
        <w:rPr>
          <w:rStyle w:val="Vnbnnidung"/>
          <w:szCs w:val="26"/>
        </w:rPr>
        <w:t>/ngày.đêm.</w:t>
      </w:r>
    </w:p>
    <w:p w:rsidR="00BB6420" w:rsidRPr="00607BAF" w:rsidRDefault="00BB6420" w:rsidP="00BB6420">
      <w:pPr>
        <w:rPr>
          <w:rStyle w:val="Vnbnnidung"/>
          <w:szCs w:val="26"/>
        </w:rPr>
      </w:pPr>
      <w:r w:rsidRPr="00607BAF">
        <w:rPr>
          <w:rStyle w:val="Vnbnnidung"/>
          <w:szCs w:val="26"/>
        </w:rPr>
        <w:t>- Nguồn số 02: Nước thải sản xuất</w:t>
      </w:r>
    </w:p>
    <w:p w:rsidR="00BB6420" w:rsidRPr="00607BAF" w:rsidRDefault="00BB6420" w:rsidP="00BB6420">
      <w:pPr>
        <w:rPr>
          <w:rStyle w:val="Vnbnnidung"/>
          <w:szCs w:val="26"/>
        </w:rPr>
      </w:pPr>
      <w:r w:rsidRPr="00607BAF">
        <w:rPr>
          <w:rStyle w:val="Vnbnnidung"/>
          <w:szCs w:val="26"/>
        </w:rPr>
        <w:t xml:space="preserve">+ Nước thải nhiễm dầu phát sinh từ </w:t>
      </w:r>
      <w:r w:rsidRPr="00607BAF">
        <w:rPr>
          <w:szCs w:val="26"/>
        </w:rPr>
        <w:t>khu vực lò hơi, hoạt động rửa sàn các khu vực có dầu mỡ</w:t>
      </w:r>
      <w:r w:rsidRPr="00607BAF">
        <w:rPr>
          <w:rStyle w:val="Heading2Char"/>
        </w:rPr>
        <w:t xml:space="preserve"> </w:t>
      </w:r>
      <w:r w:rsidRPr="00607BAF">
        <w:rPr>
          <w:rStyle w:val="Vnbnnidung"/>
          <w:szCs w:val="26"/>
        </w:rPr>
        <w:t>được thu gom theo đường ống dẫn về hệ thống XLNT nhiễm dầu, công suất 24 m</w:t>
      </w:r>
      <w:r w:rsidRPr="00607BAF">
        <w:rPr>
          <w:rStyle w:val="Vnbnnidung"/>
          <w:szCs w:val="26"/>
          <w:vertAlign w:val="superscript"/>
        </w:rPr>
        <w:t>3</w:t>
      </w:r>
      <w:r w:rsidRPr="00607BAF">
        <w:rPr>
          <w:rStyle w:val="Vnbnnidung"/>
          <w:szCs w:val="26"/>
        </w:rPr>
        <w:t>/ngày.đêm.</w:t>
      </w:r>
    </w:p>
    <w:p w:rsidR="00BB6420" w:rsidRPr="00607BAF" w:rsidRDefault="00BB6420" w:rsidP="00BB6420">
      <w:pPr>
        <w:rPr>
          <w:rStyle w:val="Vnbnnidung"/>
          <w:szCs w:val="26"/>
        </w:rPr>
      </w:pPr>
      <w:r w:rsidRPr="00607BAF">
        <w:rPr>
          <w:rStyle w:val="Vnbnnidung"/>
          <w:szCs w:val="26"/>
        </w:rPr>
        <w:t xml:space="preserve">+ Nước thải phát sinh từ nước rỉ rác từ </w:t>
      </w:r>
      <w:r w:rsidRPr="00607BAF">
        <w:rPr>
          <w:szCs w:val="26"/>
        </w:rPr>
        <w:t>sàn tiếp nhận, hố chứa rác; nước rửa ngược từ hệ thống xử lý nước thô, nước thải của tháp làm mát</w:t>
      </w:r>
      <w:r w:rsidRPr="00607BAF">
        <w:rPr>
          <w:rStyle w:val="Vnbnnidung"/>
          <w:szCs w:val="26"/>
        </w:rPr>
        <w:t xml:space="preserve"> dẫn về bể gom nước thải của trạm xử lý nước rỉ rác, công suất 200 m</w:t>
      </w:r>
      <w:r w:rsidRPr="00607BAF">
        <w:rPr>
          <w:rStyle w:val="Vnbnnidung"/>
          <w:szCs w:val="26"/>
          <w:vertAlign w:val="superscript"/>
        </w:rPr>
        <w:t>3</w:t>
      </w:r>
      <w:r w:rsidRPr="00607BAF">
        <w:rPr>
          <w:rStyle w:val="Vnbnnidung"/>
          <w:szCs w:val="26"/>
        </w:rPr>
        <w:t>/ngày.đêm.</w:t>
      </w:r>
    </w:p>
    <w:p w:rsidR="00BB6420" w:rsidRPr="00607BAF" w:rsidRDefault="00BB6420" w:rsidP="00BB6420">
      <w:pPr>
        <w:pStyle w:val="Heading3"/>
      </w:pPr>
      <w:bookmarkStart w:id="18" w:name="_Toc105599902"/>
      <w:bookmarkStart w:id="19" w:name="_Toc125714734"/>
      <w:bookmarkStart w:id="20" w:name="_Toc125714819"/>
      <w:r w:rsidRPr="00607BAF">
        <w:rPr>
          <w:rStyle w:val="Vnbnnidung"/>
          <w:szCs w:val="26"/>
        </w:rPr>
        <w:t>6.1.2. Lưu lượng</w:t>
      </w:r>
      <w:bookmarkEnd w:id="18"/>
      <w:bookmarkEnd w:id="19"/>
      <w:bookmarkEnd w:id="20"/>
    </w:p>
    <w:p w:rsidR="00BB6420" w:rsidRPr="00607BAF" w:rsidRDefault="00BB6420" w:rsidP="00BB6420">
      <w:pPr>
        <w:rPr>
          <w:rStyle w:val="Vnbnnidung"/>
          <w:szCs w:val="26"/>
        </w:rPr>
      </w:pPr>
      <w:bookmarkStart w:id="21" w:name="bookmark621"/>
      <w:r w:rsidRPr="00607BAF">
        <w:rPr>
          <w:rStyle w:val="Vnbnnidung"/>
          <w:szCs w:val="26"/>
        </w:rPr>
        <w:t>-</w:t>
      </w:r>
      <w:bookmarkEnd w:id="21"/>
      <w:r w:rsidRPr="00607BAF">
        <w:rPr>
          <w:rStyle w:val="Vnbnnidung"/>
          <w:szCs w:val="26"/>
        </w:rPr>
        <w:t xml:space="preserve"> </w:t>
      </w:r>
      <w:r w:rsidRPr="00607BAF">
        <w:rPr>
          <w:rStyle w:val="Vnbnnidung"/>
          <w:szCs w:val="26"/>
          <w:u w:color="FF0000"/>
        </w:rPr>
        <w:t>Lưu lượng xả</w:t>
      </w:r>
      <w:r w:rsidRPr="00607BAF">
        <w:rPr>
          <w:rStyle w:val="Vnbnnidung"/>
          <w:szCs w:val="26"/>
        </w:rPr>
        <w:t xml:space="preserve"> nước thải tối đa: </w:t>
      </w:r>
      <w:r>
        <w:rPr>
          <w:rStyle w:val="Vnbnnidung"/>
          <w:szCs w:val="26"/>
        </w:rPr>
        <w:t>120</w:t>
      </w:r>
      <w:r w:rsidRPr="00607BAF">
        <w:rPr>
          <w:rStyle w:val="Vnbnnidung"/>
          <w:szCs w:val="26"/>
        </w:rPr>
        <w:t xml:space="preserve"> m</w:t>
      </w:r>
      <w:r w:rsidRPr="00607BAF">
        <w:rPr>
          <w:rStyle w:val="Vnbnnidung"/>
          <w:szCs w:val="26"/>
          <w:vertAlign w:val="superscript"/>
        </w:rPr>
        <w:t>3</w:t>
      </w:r>
      <w:r w:rsidRPr="00607BAF">
        <w:rPr>
          <w:rStyle w:val="Vnbnnidung"/>
          <w:szCs w:val="26"/>
        </w:rPr>
        <w:t>/ngày.đêm.</w:t>
      </w:r>
    </w:p>
    <w:p w:rsidR="00BB6420" w:rsidRPr="00607BAF" w:rsidRDefault="00BB6420" w:rsidP="00BB6420">
      <w:pPr>
        <w:pStyle w:val="Heading3"/>
      </w:pPr>
      <w:bookmarkStart w:id="22" w:name="_Toc105599903"/>
      <w:bookmarkStart w:id="23" w:name="_Toc125714735"/>
      <w:bookmarkStart w:id="24" w:name="_Toc125714820"/>
      <w:r w:rsidRPr="00607BAF">
        <w:t>6.1.3. Dòng thải</w:t>
      </w:r>
      <w:bookmarkEnd w:id="22"/>
      <w:bookmarkEnd w:id="23"/>
      <w:bookmarkEnd w:id="24"/>
    </w:p>
    <w:p w:rsidR="00BB6420" w:rsidRDefault="00BB6420" w:rsidP="00BB6420">
      <w:pPr>
        <w:rPr>
          <w:sz w:val="24"/>
        </w:rPr>
      </w:pPr>
      <w:r w:rsidRPr="00607BAF">
        <w:t xml:space="preserve">Toàn bộ </w:t>
      </w:r>
      <w:r>
        <w:t xml:space="preserve">nước thải sinh hoạt, </w:t>
      </w:r>
      <w:r w:rsidRPr="00607BAF">
        <w:t xml:space="preserve">nước rỉ rác và nước thải sản xuất khác phát sinh của Dự án được thu gom theo đường ống dẫn về </w:t>
      </w:r>
      <w:r>
        <w:t>các trạm xử lý nước thải, sau khi xử lý đạt quy chuẩn được tái sử dụng 1 phần</w:t>
      </w:r>
      <w:r w:rsidRPr="00607BAF">
        <w:rPr>
          <w:lang w:val="nb-NO"/>
        </w:rPr>
        <w:t>; phần còn lại</w:t>
      </w:r>
      <w:r w:rsidRPr="00607BAF">
        <w:t xml:space="preserve"> dẫn ra nguồn tiếp nhận là kênh T5 cách khu vực dự án khoảng 300m</w:t>
      </w:r>
      <w:r w:rsidRPr="00607BAF">
        <w:rPr>
          <w:rStyle w:val="Vnbnnidung"/>
          <w:szCs w:val="26"/>
        </w:rPr>
        <w:t>.</w:t>
      </w:r>
      <w:r>
        <w:rPr>
          <w:rStyle w:val="Vnbnnidung"/>
          <w:szCs w:val="26"/>
        </w:rPr>
        <w:t xml:space="preserve"> tọa độ vị trí xả nước thải (theo </w:t>
      </w:r>
      <w:r>
        <w:rPr>
          <w:iCs/>
          <w:sz w:val="24"/>
        </w:rPr>
        <w:t>Hệ tọa độ VN2000 kinh tuyến trục 105</w:t>
      </w:r>
      <w:r>
        <w:rPr>
          <w:iCs/>
          <w:sz w:val="24"/>
          <w:vertAlign w:val="superscript"/>
        </w:rPr>
        <w:t>o</w:t>
      </w:r>
      <w:r>
        <w:rPr>
          <w:iCs/>
          <w:sz w:val="24"/>
        </w:rPr>
        <w:t>30’ múi chiếu 3</w:t>
      </w:r>
      <w:r>
        <w:rPr>
          <w:iCs/>
          <w:sz w:val="24"/>
          <w:vertAlign w:val="superscript"/>
        </w:rPr>
        <w:t>o</w:t>
      </w:r>
      <w:r w:rsidRPr="00382EE3">
        <w:rPr>
          <w:iCs/>
          <w:sz w:val="24"/>
        </w:rPr>
        <w:t>)</w:t>
      </w:r>
      <w:r>
        <w:rPr>
          <w:iCs/>
          <w:sz w:val="24"/>
        </w:rPr>
        <w:t xml:space="preserve"> </w:t>
      </w:r>
      <w:r>
        <w:rPr>
          <w:rStyle w:val="Vnbnnidung"/>
          <w:szCs w:val="26"/>
        </w:rPr>
        <w:t xml:space="preserve">là: X = </w:t>
      </w:r>
      <w:r>
        <w:rPr>
          <w:sz w:val="24"/>
        </w:rPr>
        <w:t>2259579 và Y = 563862.</w:t>
      </w:r>
    </w:p>
    <w:p w:rsidR="00BB6420" w:rsidRDefault="00BB6420" w:rsidP="00BB6420">
      <w:pPr>
        <w:rPr>
          <w:sz w:val="24"/>
        </w:rPr>
      </w:pPr>
      <w:r>
        <w:rPr>
          <w:sz w:val="24"/>
        </w:rPr>
        <w:t>Chế độ xả thải: tự chảy, xả mặt.</w:t>
      </w:r>
    </w:p>
    <w:p w:rsidR="00BB6420" w:rsidRDefault="00BB6420" w:rsidP="00BB6420">
      <w:pPr>
        <w:rPr>
          <w:sz w:val="24"/>
        </w:rPr>
      </w:pPr>
      <w:r>
        <w:rPr>
          <w:sz w:val="24"/>
        </w:rPr>
        <w:t>Phương thức xả thải: liên tục 24/24h.</w:t>
      </w:r>
    </w:p>
    <w:p w:rsidR="00BB6420" w:rsidRPr="00607BAF" w:rsidRDefault="00BB6420" w:rsidP="00BB6420">
      <w:pPr>
        <w:pStyle w:val="Heading3"/>
        <w:rPr>
          <w:rStyle w:val="Vnbnnidung"/>
          <w:szCs w:val="26"/>
        </w:rPr>
      </w:pPr>
      <w:bookmarkStart w:id="25" w:name="_Toc105599904"/>
      <w:bookmarkStart w:id="26" w:name="_Toc125714736"/>
      <w:bookmarkStart w:id="27" w:name="_Toc125714821"/>
      <w:bookmarkStart w:id="28" w:name="bookmark623"/>
      <w:r w:rsidRPr="00607BAF">
        <w:rPr>
          <w:rStyle w:val="Vnbnnidung"/>
          <w:szCs w:val="26"/>
        </w:rPr>
        <w:t>6.1.4. Các chất ô nhiễm và giá trị giới hạn của các chất ô nhiễm theo dòng nước thải</w:t>
      </w:r>
      <w:bookmarkEnd w:id="25"/>
      <w:bookmarkEnd w:id="26"/>
      <w:bookmarkEnd w:id="27"/>
    </w:p>
    <w:p w:rsidR="00BB6420" w:rsidRPr="00607BAF" w:rsidRDefault="00BB6420" w:rsidP="00BB6420">
      <w:pPr>
        <w:rPr>
          <w:rStyle w:val="Vnbnnidung"/>
          <w:szCs w:val="26"/>
        </w:rPr>
      </w:pPr>
      <w:r>
        <w:rPr>
          <w:szCs w:val="26"/>
        </w:rPr>
        <w:t>N</w:t>
      </w:r>
      <w:r w:rsidRPr="00607BAF">
        <w:rPr>
          <w:szCs w:val="26"/>
        </w:rPr>
        <w:t>ước thải sau khi xử lý tại</w:t>
      </w:r>
      <w:r>
        <w:rPr>
          <w:szCs w:val="26"/>
        </w:rPr>
        <w:t xml:space="preserve"> các</w:t>
      </w:r>
      <w:r w:rsidRPr="00607BAF">
        <w:rPr>
          <w:szCs w:val="26"/>
        </w:rPr>
        <w:t xml:space="preserve"> trạm XLNT </w:t>
      </w:r>
      <w:r>
        <w:rPr>
          <w:szCs w:val="26"/>
        </w:rPr>
        <w:t xml:space="preserve">của dự án, trước khi xả thải ra môi trường </w:t>
      </w:r>
      <w:r w:rsidRPr="00607BAF">
        <w:rPr>
          <w:rStyle w:val="Vnbnnidung"/>
          <w:szCs w:val="26"/>
        </w:rPr>
        <w:t>đạt QCVN 40:2011/BTNMT, cột B, K</w:t>
      </w:r>
      <w:r w:rsidRPr="00607BAF">
        <w:rPr>
          <w:rStyle w:val="Vnbnnidung"/>
          <w:szCs w:val="26"/>
          <w:vertAlign w:val="subscript"/>
        </w:rPr>
        <w:t>q</w:t>
      </w:r>
      <w:r w:rsidRPr="00607BAF">
        <w:rPr>
          <w:rStyle w:val="Vnbnnidung"/>
          <w:szCs w:val="26"/>
        </w:rPr>
        <w:t xml:space="preserve"> = 0,9, K</w:t>
      </w:r>
      <w:r w:rsidRPr="00607BAF">
        <w:rPr>
          <w:rStyle w:val="Vnbnnidung"/>
          <w:szCs w:val="26"/>
          <w:vertAlign w:val="subscript"/>
        </w:rPr>
        <w:t>f</w:t>
      </w:r>
      <w:r w:rsidRPr="00607BAF">
        <w:rPr>
          <w:rStyle w:val="Vnbnnidung"/>
          <w:szCs w:val="26"/>
        </w:rPr>
        <w:t xml:space="preserve"> = 1,1 trước khi dẫn ra kênh T5 có giới hạn của các chất ô nhiễm theo dòng thải được thống kê trong bảng sau:</w:t>
      </w:r>
    </w:p>
    <w:p w:rsidR="00BB6420" w:rsidRDefault="00BB6420" w:rsidP="00BB6420">
      <w:pPr>
        <w:pStyle w:val="Caption"/>
        <w:jc w:val="center"/>
        <w:rPr>
          <w:color w:val="auto"/>
          <w:sz w:val="26"/>
          <w:szCs w:val="26"/>
        </w:rPr>
      </w:pPr>
      <w:bookmarkStart w:id="29" w:name="_Toc105599979"/>
      <w:bookmarkStart w:id="30" w:name="_Toc126313958"/>
      <w:r w:rsidRPr="00607BAF">
        <w:rPr>
          <w:color w:val="auto"/>
          <w:sz w:val="26"/>
          <w:szCs w:val="26"/>
        </w:rPr>
        <w:t>Bảng 6.</w:t>
      </w:r>
      <w:r w:rsidRPr="00607BAF">
        <w:rPr>
          <w:color w:val="auto"/>
          <w:sz w:val="26"/>
          <w:szCs w:val="26"/>
        </w:rPr>
        <w:fldChar w:fldCharType="begin"/>
      </w:r>
      <w:r w:rsidRPr="00607BAF">
        <w:rPr>
          <w:color w:val="auto"/>
          <w:sz w:val="26"/>
          <w:szCs w:val="26"/>
        </w:rPr>
        <w:instrText xml:space="preserve"> SEQ Bảng_6. \* ARABIC </w:instrText>
      </w:r>
      <w:r w:rsidRPr="00607BAF">
        <w:rPr>
          <w:color w:val="auto"/>
          <w:sz w:val="26"/>
          <w:szCs w:val="26"/>
        </w:rPr>
        <w:fldChar w:fldCharType="separate"/>
      </w:r>
      <w:r>
        <w:rPr>
          <w:noProof/>
          <w:color w:val="auto"/>
          <w:sz w:val="26"/>
          <w:szCs w:val="26"/>
        </w:rPr>
        <w:t>1</w:t>
      </w:r>
      <w:r w:rsidRPr="00607BAF">
        <w:rPr>
          <w:color w:val="auto"/>
          <w:sz w:val="26"/>
          <w:szCs w:val="26"/>
        </w:rPr>
        <w:fldChar w:fldCharType="end"/>
      </w:r>
      <w:r w:rsidRPr="00607BAF">
        <w:rPr>
          <w:color w:val="auto"/>
          <w:sz w:val="26"/>
          <w:szCs w:val="26"/>
        </w:rPr>
        <w:t>. Giới hạn các chất ô nhiễm theo dòng thải</w:t>
      </w:r>
      <w:bookmarkEnd w:id="29"/>
      <w:r w:rsidRPr="00607BAF">
        <w:rPr>
          <w:color w:val="auto"/>
          <w:sz w:val="26"/>
          <w:szCs w:val="26"/>
        </w:rPr>
        <w:t xml:space="preserve"> nước rỉ rác</w:t>
      </w:r>
      <w:bookmarkEnd w:id="30"/>
    </w:p>
    <w:tbl>
      <w:tblPr>
        <w:tblW w:w="7517" w:type="dxa"/>
        <w:tblInd w:w="558" w:type="dxa"/>
        <w:tblLook w:val="04A0" w:firstRow="1" w:lastRow="0" w:firstColumn="1" w:lastColumn="0" w:noHBand="0" w:noVBand="1"/>
      </w:tblPr>
      <w:tblGrid>
        <w:gridCol w:w="810"/>
        <w:gridCol w:w="2880"/>
        <w:gridCol w:w="1843"/>
        <w:gridCol w:w="1984"/>
      </w:tblGrid>
      <w:tr w:rsidR="00BB6420" w:rsidRPr="005C3D86" w:rsidTr="006D1CB3">
        <w:trPr>
          <w:trHeight w:val="624"/>
          <w:tblHeader/>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b/>
                <w:bCs/>
                <w:color w:val="000000"/>
                <w:sz w:val="24"/>
              </w:rPr>
            </w:pPr>
            <w:r w:rsidRPr="005C3D86">
              <w:rPr>
                <w:b/>
                <w:bCs/>
                <w:color w:val="000000"/>
                <w:sz w:val="24"/>
              </w:rPr>
              <w:t>STT</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jc w:val="center"/>
              <w:rPr>
                <w:b/>
                <w:bCs/>
                <w:color w:val="000000"/>
                <w:sz w:val="24"/>
              </w:rPr>
            </w:pPr>
            <w:r w:rsidRPr="005C3D86">
              <w:rPr>
                <w:b/>
                <w:bCs/>
                <w:color w:val="000000"/>
                <w:sz w:val="24"/>
              </w:rPr>
              <w:t>Thông số</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b/>
                <w:bCs/>
                <w:color w:val="000000"/>
                <w:sz w:val="24"/>
              </w:rPr>
            </w:pPr>
            <w:r w:rsidRPr="005C3D86">
              <w:rPr>
                <w:b/>
                <w:bCs/>
                <w:color w:val="000000"/>
                <w:sz w:val="24"/>
              </w:rPr>
              <w:t>Đơn vị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jc w:val="center"/>
              <w:rPr>
                <w:b/>
                <w:bCs/>
                <w:color w:val="000000"/>
                <w:sz w:val="24"/>
              </w:rPr>
            </w:pPr>
            <w:r w:rsidRPr="005C3D86">
              <w:rPr>
                <w:b/>
                <w:bCs/>
                <w:color w:val="000000"/>
                <w:sz w:val="24"/>
              </w:rPr>
              <w:t>Giá trị C</w:t>
            </w:r>
            <w:r w:rsidRPr="005C3D86">
              <w:rPr>
                <w:b/>
                <w:bCs/>
                <w:color w:val="000000"/>
                <w:sz w:val="24"/>
              </w:rPr>
              <w:br/>
            </w:r>
            <w:r w:rsidRPr="005C3D86">
              <w:rPr>
                <w:i/>
                <w:iCs/>
                <w:color w:val="000000"/>
                <w:sz w:val="24"/>
              </w:rPr>
              <w:t>K</w:t>
            </w:r>
            <w:r w:rsidRPr="00DC597B">
              <w:rPr>
                <w:i/>
                <w:iCs/>
                <w:color w:val="000000"/>
                <w:sz w:val="24"/>
                <w:vertAlign w:val="subscript"/>
              </w:rPr>
              <w:t>q</w:t>
            </w:r>
            <w:r w:rsidRPr="005C3D86">
              <w:rPr>
                <w:i/>
                <w:iCs/>
                <w:color w:val="000000"/>
                <w:sz w:val="24"/>
              </w:rPr>
              <w:t>=0,9; K</w:t>
            </w:r>
            <w:r w:rsidRPr="00DC597B">
              <w:rPr>
                <w:i/>
                <w:iCs/>
                <w:color w:val="000000"/>
                <w:sz w:val="24"/>
                <w:vertAlign w:val="subscript"/>
              </w:rPr>
              <w:t>f</w:t>
            </w:r>
            <w:r w:rsidRPr="005C3D86">
              <w:rPr>
                <w:i/>
                <w:iCs/>
                <w:color w:val="000000"/>
                <w:sz w:val="24"/>
              </w:rPr>
              <w:t>=1,1</w:t>
            </w:r>
          </w:p>
        </w:tc>
      </w:tr>
      <w:tr w:rsidR="00BB6420" w:rsidRPr="005C3D86" w:rsidTr="006D1CB3">
        <w:trPr>
          <w:trHeight w:val="37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1</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Nhiệt độ</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vertAlign w:val="superscript"/>
              </w:rPr>
              <w:t>o</w:t>
            </w:r>
            <w:r w:rsidRPr="005C3D86">
              <w:rPr>
                <w:color w:val="000000"/>
                <w:sz w:val="24"/>
              </w:rPr>
              <w:t>C</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40</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lastRenderedPageBreak/>
              <w:t>2</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Màu</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Pt/Co</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150</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3</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 xml:space="preserve">pH </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w:t>
            </w:r>
          </w:p>
        </w:tc>
        <w:tc>
          <w:tcPr>
            <w:tcW w:w="1984"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5,5 – 9,0</w:t>
            </w:r>
          </w:p>
        </w:tc>
      </w:tr>
      <w:tr w:rsidR="00BB6420" w:rsidRPr="005C3D86" w:rsidTr="006D1CB3">
        <w:trPr>
          <w:trHeight w:val="396"/>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4</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BOD</w:t>
            </w:r>
            <w:r w:rsidRPr="005C3D86">
              <w:rPr>
                <w:color w:val="000000"/>
                <w:sz w:val="24"/>
                <w:vertAlign w:val="subscript"/>
              </w:rPr>
              <w:t>5</w:t>
            </w:r>
            <w:r w:rsidRPr="005C3D86">
              <w:rPr>
                <w:color w:val="000000"/>
                <w:sz w:val="24"/>
              </w:rPr>
              <w:t xml:space="preserve"> (20</w:t>
            </w:r>
            <w:r w:rsidRPr="005C3D86">
              <w:rPr>
                <w:color w:val="000000"/>
                <w:sz w:val="24"/>
                <w:vertAlign w:val="superscript"/>
              </w:rPr>
              <w:t>o</w:t>
            </w:r>
            <w:r w:rsidRPr="005C3D86">
              <w:rPr>
                <w:color w:val="000000"/>
                <w:sz w:val="24"/>
              </w:rPr>
              <w:t>C)</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49,5</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5</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COD</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148,5</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6</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Chất rắn lơ lửng</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99</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7</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Asen</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0,099</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8</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Thủy ngân</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0,0099</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9</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Chì</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0,495</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10</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Cadimi</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0,099</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11</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Crom (VI)</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0,099</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12</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Crom (III)</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0,99</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13</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Đồng</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1,98</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14</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Kẽm</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2,97</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15</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Niken</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0,495</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16</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Mangan</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0,99</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17</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Sắt</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4,95</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18</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Tổng xianua</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 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0,099</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19</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 xml:space="preserve">Tổng phenol </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0,495</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20</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Tổng dầu mỡ khoáng</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9,9</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21</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Sunfua</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0,495</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22</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Florua</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9,9</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23</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Amoni (tính theo N)</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9,9</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24</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Tổng nitơ</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39,6</w:t>
            </w:r>
          </w:p>
        </w:tc>
      </w:tr>
      <w:tr w:rsidR="00BB6420" w:rsidRPr="005C3D86" w:rsidTr="006D1CB3">
        <w:trPr>
          <w:trHeight w:val="3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25</w:t>
            </w:r>
          </w:p>
        </w:tc>
        <w:tc>
          <w:tcPr>
            <w:tcW w:w="2880" w:type="dxa"/>
            <w:tcBorders>
              <w:top w:val="nil"/>
              <w:left w:val="nil"/>
              <w:bottom w:val="single" w:sz="4" w:space="0" w:color="auto"/>
              <w:right w:val="single" w:sz="4" w:space="0" w:color="auto"/>
            </w:tcBorders>
            <w:shd w:val="clear" w:color="auto" w:fill="auto"/>
            <w:vAlign w:val="center"/>
            <w:hideMark/>
          </w:tcPr>
          <w:p w:rsidR="00BB6420" w:rsidRPr="005C3D86" w:rsidRDefault="00BB6420" w:rsidP="006D1CB3">
            <w:pPr>
              <w:spacing w:before="60" w:after="60" w:line="240" w:lineRule="auto"/>
              <w:ind w:firstLine="0"/>
              <w:rPr>
                <w:color w:val="000000"/>
                <w:sz w:val="24"/>
              </w:rPr>
            </w:pPr>
            <w:r w:rsidRPr="005C3D86">
              <w:rPr>
                <w:color w:val="000000"/>
                <w:sz w:val="24"/>
              </w:rPr>
              <w:t>Tổng phốt pho (tính theo P)</w:t>
            </w:r>
          </w:p>
        </w:tc>
        <w:tc>
          <w:tcPr>
            <w:tcW w:w="1843"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5,94</w:t>
            </w:r>
          </w:p>
        </w:tc>
      </w:tr>
      <w:tr w:rsidR="00BB6420" w:rsidRPr="005C3D86" w:rsidTr="006D1CB3">
        <w:trPr>
          <w:trHeight w:val="321"/>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26</w:t>
            </w:r>
          </w:p>
        </w:tc>
        <w:tc>
          <w:tcPr>
            <w:tcW w:w="2880" w:type="dxa"/>
            <w:tcBorders>
              <w:top w:val="nil"/>
              <w:left w:val="nil"/>
              <w:bottom w:val="single" w:sz="4" w:space="0" w:color="auto"/>
              <w:right w:val="single" w:sz="4" w:space="0" w:color="auto"/>
            </w:tcBorders>
            <w:shd w:val="clear" w:color="auto" w:fill="auto"/>
            <w:vAlign w:val="center"/>
          </w:tcPr>
          <w:p w:rsidR="00BB6420" w:rsidRPr="005C3D86" w:rsidRDefault="00BB6420" w:rsidP="006D1CB3">
            <w:pPr>
              <w:spacing w:before="60" w:after="60" w:line="240" w:lineRule="auto"/>
              <w:ind w:firstLine="0"/>
              <w:rPr>
                <w:color w:val="000000"/>
                <w:sz w:val="24"/>
              </w:rPr>
            </w:pPr>
            <w:r w:rsidRPr="005C3D86">
              <w:rPr>
                <w:color w:val="000000"/>
                <w:sz w:val="24"/>
              </w:rPr>
              <w:t>Clo dư</w:t>
            </w:r>
          </w:p>
        </w:tc>
        <w:tc>
          <w:tcPr>
            <w:tcW w:w="1843" w:type="dxa"/>
            <w:tcBorders>
              <w:top w:val="nil"/>
              <w:left w:val="nil"/>
              <w:bottom w:val="single" w:sz="4" w:space="0" w:color="auto"/>
              <w:right w:val="single" w:sz="4" w:space="0" w:color="auto"/>
            </w:tcBorders>
            <w:shd w:val="clear" w:color="auto" w:fill="auto"/>
            <w:noWrap/>
            <w:vAlign w:val="center"/>
          </w:tcPr>
          <w:p w:rsidR="00BB6420" w:rsidRPr="005C3D86" w:rsidRDefault="00BB6420" w:rsidP="006D1CB3">
            <w:pPr>
              <w:spacing w:before="60" w:after="60" w:line="240" w:lineRule="auto"/>
              <w:ind w:firstLine="0"/>
              <w:jc w:val="center"/>
              <w:rPr>
                <w:color w:val="000000"/>
                <w:sz w:val="24"/>
              </w:rPr>
            </w:pPr>
            <w:r w:rsidRPr="005C3D86">
              <w:rPr>
                <w:color w:val="000000"/>
                <w:sz w:val="24"/>
              </w:rPr>
              <w:t>mg/l</w:t>
            </w:r>
          </w:p>
        </w:tc>
        <w:tc>
          <w:tcPr>
            <w:tcW w:w="1984" w:type="dxa"/>
            <w:tcBorders>
              <w:top w:val="nil"/>
              <w:left w:val="nil"/>
              <w:bottom w:val="single" w:sz="4" w:space="0" w:color="auto"/>
              <w:right w:val="single" w:sz="4" w:space="0" w:color="auto"/>
            </w:tcBorders>
            <w:shd w:val="clear" w:color="auto" w:fill="auto"/>
            <w:noWrap/>
            <w:vAlign w:val="center"/>
          </w:tcPr>
          <w:p w:rsidR="00BB6420" w:rsidRPr="005C3D86" w:rsidRDefault="00BB6420" w:rsidP="006D1CB3">
            <w:pPr>
              <w:spacing w:before="60" w:after="60" w:line="240" w:lineRule="auto"/>
              <w:ind w:firstLine="0"/>
              <w:jc w:val="center"/>
              <w:rPr>
                <w:color w:val="000000"/>
                <w:sz w:val="24"/>
              </w:rPr>
            </w:pPr>
            <w:r w:rsidRPr="005C3D86">
              <w:rPr>
                <w:color w:val="000000"/>
                <w:sz w:val="24"/>
              </w:rPr>
              <w:t>1,98</w:t>
            </w:r>
          </w:p>
        </w:tc>
      </w:tr>
      <w:tr w:rsidR="00BB6420" w:rsidRPr="005C3D86" w:rsidTr="006D1CB3">
        <w:trPr>
          <w:trHeight w:val="34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B6420" w:rsidRPr="005C3D86" w:rsidRDefault="00BB6420" w:rsidP="006D1CB3">
            <w:pPr>
              <w:spacing w:before="60" w:after="60" w:line="240" w:lineRule="auto"/>
              <w:ind w:firstLine="0"/>
              <w:jc w:val="center"/>
              <w:rPr>
                <w:color w:val="000000"/>
                <w:sz w:val="24"/>
              </w:rPr>
            </w:pPr>
            <w:r w:rsidRPr="005C3D86">
              <w:rPr>
                <w:color w:val="000000"/>
                <w:sz w:val="24"/>
              </w:rPr>
              <w:t>28</w:t>
            </w:r>
          </w:p>
        </w:tc>
        <w:tc>
          <w:tcPr>
            <w:tcW w:w="2880" w:type="dxa"/>
            <w:tcBorders>
              <w:top w:val="nil"/>
              <w:left w:val="nil"/>
              <w:bottom w:val="single" w:sz="4" w:space="0" w:color="auto"/>
              <w:right w:val="single" w:sz="4" w:space="0" w:color="auto"/>
            </w:tcBorders>
            <w:shd w:val="clear" w:color="auto" w:fill="auto"/>
            <w:vAlign w:val="center"/>
          </w:tcPr>
          <w:p w:rsidR="00BB6420" w:rsidRPr="005C3D86" w:rsidRDefault="00BB6420" w:rsidP="006D1CB3">
            <w:pPr>
              <w:spacing w:before="60" w:after="60" w:line="240" w:lineRule="auto"/>
              <w:ind w:firstLine="0"/>
              <w:rPr>
                <w:color w:val="000000"/>
                <w:sz w:val="24"/>
              </w:rPr>
            </w:pPr>
            <w:r w:rsidRPr="005C3D86">
              <w:rPr>
                <w:color w:val="000000"/>
                <w:sz w:val="24"/>
              </w:rPr>
              <w:t>Coliform</w:t>
            </w:r>
          </w:p>
        </w:tc>
        <w:tc>
          <w:tcPr>
            <w:tcW w:w="1843" w:type="dxa"/>
            <w:tcBorders>
              <w:top w:val="nil"/>
              <w:left w:val="nil"/>
              <w:bottom w:val="single" w:sz="4" w:space="0" w:color="auto"/>
              <w:right w:val="single" w:sz="4" w:space="0" w:color="auto"/>
            </w:tcBorders>
            <w:shd w:val="clear" w:color="auto" w:fill="auto"/>
            <w:noWrap/>
            <w:vAlign w:val="center"/>
          </w:tcPr>
          <w:p w:rsidR="00BB6420" w:rsidRPr="005C3D86" w:rsidRDefault="00BB6420" w:rsidP="006D1CB3">
            <w:pPr>
              <w:spacing w:before="60" w:after="60" w:line="240" w:lineRule="auto"/>
              <w:ind w:firstLine="0"/>
              <w:jc w:val="center"/>
              <w:rPr>
                <w:color w:val="000000"/>
                <w:sz w:val="24"/>
              </w:rPr>
            </w:pPr>
            <w:r w:rsidRPr="005C3D86">
              <w:rPr>
                <w:color w:val="000000"/>
                <w:sz w:val="24"/>
              </w:rPr>
              <w:t>vi khuẩn/100ml</w:t>
            </w:r>
          </w:p>
        </w:tc>
        <w:tc>
          <w:tcPr>
            <w:tcW w:w="1984" w:type="dxa"/>
            <w:tcBorders>
              <w:top w:val="nil"/>
              <w:left w:val="nil"/>
              <w:bottom w:val="single" w:sz="4" w:space="0" w:color="auto"/>
              <w:right w:val="single" w:sz="4" w:space="0" w:color="auto"/>
            </w:tcBorders>
            <w:shd w:val="clear" w:color="auto" w:fill="auto"/>
            <w:noWrap/>
            <w:vAlign w:val="center"/>
          </w:tcPr>
          <w:p w:rsidR="00BB6420" w:rsidRPr="005C3D86" w:rsidRDefault="00BB6420" w:rsidP="006D1CB3">
            <w:pPr>
              <w:spacing w:before="60" w:after="60" w:line="240" w:lineRule="auto"/>
              <w:ind w:firstLine="0"/>
              <w:jc w:val="center"/>
              <w:rPr>
                <w:color w:val="000000"/>
                <w:sz w:val="24"/>
              </w:rPr>
            </w:pPr>
            <w:r w:rsidRPr="005C3D86">
              <w:rPr>
                <w:color w:val="000000"/>
                <w:sz w:val="24"/>
              </w:rPr>
              <w:t>5.000</w:t>
            </w:r>
          </w:p>
        </w:tc>
      </w:tr>
    </w:tbl>
    <w:p w:rsidR="00BB6420" w:rsidRPr="00DC597B" w:rsidRDefault="00BB6420" w:rsidP="00BB6420"/>
    <w:p w:rsidR="00BB6420" w:rsidRPr="00607BAF" w:rsidRDefault="00BB6420" w:rsidP="00BB6420">
      <w:pPr>
        <w:pStyle w:val="Heading3"/>
      </w:pPr>
      <w:bookmarkStart w:id="31" w:name="_Toc105599905"/>
      <w:bookmarkStart w:id="32" w:name="_Toc125714737"/>
      <w:bookmarkStart w:id="33" w:name="_Toc125714822"/>
      <w:r w:rsidRPr="00607BAF">
        <w:t>6.1.5. Vị trí, phương thức xả và nguồn tiếp nhận nước thải</w:t>
      </w:r>
      <w:bookmarkEnd w:id="31"/>
      <w:bookmarkEnd w:id="32"/>
      <w:bookmarkEnd w:id="33"/>
    </w:p>
    <w:p w:rsidR="00BB6420" w:rsidRPr="00607BAF" w:rsidRDefault="00BB6420" w:rsidP="00BB6420">
      <w:pPr>
        <w:pStyle w:val="a"/>
        <w:tabs>
          <w:tab w:val="clear" w:pos="360"/>
        </w:tabs>
        <w:rPr>
          <w:lang w:val="vi-VN"/>
        </w:rPr>
      </w:pPr>
      <w:r w:rsidRPr="00607BAF">
        <w:rPr>
          <w:lang w:val="vi-VN"/>
        </w:rPr>
        <w:t xml:space="preserve">Vị trí xả nước thải: Kênh T5 (kênh thủy lợi) gần khu vực dự án. </w:t>
      </w:r>
    </w:p>
    <w:p w:rsidR="00BB6420" w:rsidRPr="00607BAF" w:rsidRDefault="00BB6420" w:rsidP="00BB6420">
      <w:pPr>
        <w:pStyle w:val="a"/>
        <w:tabs>
          <w:tab w:val="clear" w:pos="360"/>
        </w:tabs>
        <w:rPr>
          <w:lang w:val="vi-VN"/>
        </w:rPr>
      </w:pPr>
      <w:r w:rsidRPr="00607BAF">
        <w:rPr>
          <w:lang w:val="vi-VN"/>
        </w:rPr>
        <w:t>Tọa độ vị trí xả nước thải</w:t>
      </w:r>
      <w:r>
        <w:t xml:space="preserve"> </w:t>
      </w:r>
      <w:r>
        <w:rPr>
          <w:rStyle w:val="Vnbnnidung"/>
          <w:szCs w:val="26"/>
        </w:rPr>
        <w:t xml:space="preserve">(theo </w:t>
      </w:r>
      <w:r>
        <w:rPr>
          <w:iCs/>
          <w:sz w:val="24"/>
        </w:rPr>
        <w:t>Hệ tọa độ VN2000 kinh tuyến trục 105</w:t>
      </w:r>
      <w:r>
        <w:rPr>
          <w:iCs/>
          <w:sz w:val="24"/>
          <w:vertAlign w:val="superscript"/>
        </w:rPr>
        <w:t>o</w:t>
      </w:r>
      <w:r>
        <w:rPr>
          <w:iCs/>
          <w:sz w:val="24"/>
        </w:rPr>
        <w:t>30’ múi chiếu 3</w:t>
      </w:r>
      <w:r>
        <w:rPr>
          <w:iCs/>
          <w:sz w:val="24"/>
          <w:vertAlign w:val="superscript"/>
        </w:rPr>
        <w:t>o</w:t>
      </w:r>
      <w:r w:rsidRPr="00382EE3">
        <w:rPr>
          <w:iCs/>
          <w:sz w:val="24"/>
        </w:rPr>
        <w:t>)</w:t>
      </w:r>
      <w:r>
        <w:rPr>
          <w:iCs/>
          <w:sz w:val="24"/>
        </w:rPr>
        <w:t xml:space="preserve"> </w:t>
      </w:r>
      <w:r>
        <w:rPr>
          <w:rStyle w:val="Vnbnnidung"/>
          <w:szCs w:val="26"/>
        </w:rPr>
        <w:t xml:space="preserve">là: X = </w:t>
      </w:r>
      <w:r>
        <w:rPr>
          <w:sz w:val="24"/>
        </w:rPr>
        <w:t>2259579 và Y = 563862.</w:t>
      </w:r>
    </w:p>
    <w:p w:rsidR="00BB6420" w:rsidRPr="00607BAF" w:rsidRDefault="00BB6420" w:rsidP="00BB6420">
      <w:pPr>
        <w:pStyle w:val="a"/>
        <w:tabs>
          <w:tab w:val="clear" w:pos="360"/>
        </w:tabs>
        <w:rPr>
          <w:lang w:val="vi-VN"/>
        </w:rPr>
      </w:pPr>
      <w:r w:rsidRPr="00607BAF">
        <w:rPr>
          <w:lang w:val="vi-VN"/>
        </w:rPr>
        <w:t>Phương thức xả: Tự chảy</w:t>
      </w:r>
      <w:r>
        <w:t>, xả mặt</w:t>
      </w:r>
      <w:r w:rsidRPr="00607BAF">
        <w:rPr>
          <w:lang w:val="vi-VN"/>
        </w:rPr>
        <w:t>.</w:t>
      </w:r>
    </w:p>
    <w:p w:rsidR="00BB6420" w:rsidRPr="00607BAF" w:rsidRDefault="00BB6420" w:rsidP="00BB6420">
      <w:pPr>
        <w:pStyle w:val="a"/>
        <w:tabs>
          <w:tab w:val="clear" w:pos="360"/>
        </w:tabs>
        <w:rPr>
          <w:lang w:val="vi-VN"/>
        </w:rPr>
      </w:pPr>
      <w:r w:rsidRPr="00607BAF">
        <w:rPr>
          <w:lang w:val="vi-VN"/>
        </w:rPr>
        <w:t>Chế độ xả nước thải: 24/24h.</w:t>
      </w:r>
    </w:p>
    <w:p w:rsidR="00BB6420" w:rsidRPr="00607BAF" w:rsidRDefault="00BB6420" w:rsidP="00BB6420">
      <w:pPr>
        <w:pStyle w:val="a"/>
        <w:tabs>
          <w:tab w:val="clear" w:pos="360"/>
        </w:tabs>
        <w:rPr>
          <w:lang w:val="vi-VN"/>
        </w:rPr>
      </w:pPr>
      <w:r w:rsidRPr="00607BAF">
        <w:rPr>
          <w:lang w:val="vi-VN"/>
        </w:rPr>
        <w:lastRenderedPageBreak/>
        <w:t xml:space="preserve">Nguồn tiếp nhận nước thải: Kênh T5 (kênh thủy lợi) </w:t>
      </w:r>
      <w:r>
        <w:t>cách</w:t>
      </w:r>
      <w:r w:rsidRPr="00607BAF">
        <w:rPr>
          <w:lang w:val="vi-VN"/>
        </w:rPr>
        <w:t xml:space="preserve"> khu vực dự án</w:t>
      </w:r>
      <w:r>
        <w:t xml:space="preserve"> khoảng 300m</w:t>
      </w:r>
      <w:r w:rsidRPr="00607BAF">
        <w:rPr>
          <w:lang w:val="vi-VN"/>
        </w:rPr>
        <w:t>.</w:t>
      </w:r>
    </w:p>
    <w:p w:rsidR="00BB6420" w:rsidRPr="00607BAF" w:rsidRDefault="00BB6420" w:rsidP="00BB6420">
      <w:pPr>
        <w:pStyle w:val="Heading2"/>
        <w:rPr>
          <w:rFonts w:cs="Times New Roman"/>
          <w:lang w:val="vi-VN"/>
        </w:rPr>
      </w:pPr>
      <w:bookmarkStart w:id="34" w:name="bookmark625"/>
      <w:bookmarkStart w:id="35" w:name="_Toc105599906"/>
      <w:bookmarkStart w:id="36" w:name="_Toc125714738"/>
      <w:bookmarkStart w:id="37" w:name="_Toc125714823"/>
      <w:bookmarkEnd w:id="28"/>
      <w:r w:rsidRPr="00607BAF">
        <w:rPr>
          <w:rStyle w:val="Vnbnnidung"/>
          <w:lang w:val="vi-VN"/>
        </w:rPr>
        <w:t>6.2</w:t>
      </w:r>
      <w:bookmarkEnd w:id="34"/>
      <w:r w:rsidRPr="00607BAF">
        <w:rPr>
          <w:rStyle w:val="Vnbnnidung"/>
          <w:lang w:val="vi-VN"/>
        </w:rPr>
        <w:t>. Nội dung đề nghị cấp phép đối với khí thải:</w:t>
      </w:r>
      <w:bookmarkEnd w:id="35"/>
      <w:bookmarkEnd w:id="36"/>
      <w:bookmarkEnd w:id="37"/>
    </w:p>
    <w:p w:rsidR="00BB6420" w:rsidRPr="00607BAF" w:rsidRDefault="00BB6420" w:rsidP="00BB6420">
      <w:pPr>
        <w:pStyle w:val="Heading3"/>
        <w:spacing w:line="264" w:lineRule="auto"/>
        <w:rPr>
          <w:lang w:val="vi-VN"/>
        </w:rPr>
      </w:pPr>
      <w:bookmarkStart w:id="38" w:name="_Toc112050736"/>
      <w:bookmarkStart w:id="39" w:name="_Toc117436726"/>
      <w:bookmarkStart w:id="40" w:name="_Toc125714739"/>
      <w:bookmarkStart w:id="41" w:name="_Toc125714824"/>
      <w:bookmarkStart w:id="42" w:name="bookmark631"/>
      <w:bookmarkStart w:id="43" w:name="_Toc105599907"/>
      <w:r w:rsidRPr="00607BAF">
        <w:rPr>
          <w:lang w:val="vi-VN"/>
        </w:rPr>
        <w:t xml:space="preserve">6.2.1. Nguồn phát sinh khí </w:t>
      </w:r>
      <w:sdt>
        <w:sdtPr>
          <w:tag w:val="goog_rdk_88"/>
          <w:id w:val="-918327414"/>
        </w:sdtPr>
        <w:sdtEndPr/>
        <w:sdtContent/>
      </w:sdt>
      <w:r w:rsidRPr="00607BAF">
        <w:rPr>
          <w:lang w:val="vi-VN"/>
        </w:rPr>
        <w:t>thải</w:t>
      </w:r>
      <w:bookmarkEnd w:id="38"/>
      <w:bookmarkEnd w:id="39"/>
      <w:bookmarkEnd w:id="40"/>
      <w:bookmarkEnd w:id="41"/>
    </w:p>
    <w:p w:rsidR="00BB6420" w:rsidRPr="00607BAF" w:rsidRDefault="00BB6420" w:rsidP="00BB6420">
      <w:pPr>
        <w:rPr>
          <w:lang w:val="vi-VN"/>
        </w:rPr>
      </w:pPr>
      <w:r w:rsidRPr="00607BAF">
        <w:rPr>
          <w:lang w:val="vi-VN"/>
        </w:rPr>
        <w:t>Dự án có 0</w:t>
      </w:r>
      <w:r>
        <w:t>2</w:t>
      </w:r>
      <w:r w:rsidRPr="00607BAF">
        <w:rPr>
          <w:lang w:val="vi-VN"/>
        </w:rPr>
        <w:t xml:space="preserve"> nguồn phát sinh khí thải như sau:</w:t>
      </w:r>
    </w:p>
    <w:p w:rsidR="00BB6420" w:rsidRPr="00C94398" w:rsidRDefault="00BB6420" w:rsidP="00BB6420">
      <w:pPr>
        <w:pStyle w:val="a"/>
        <w:tabs>
          <w:tab w:val="clear" w:pos="360"/>
        </w:tabs>
        <w:spacing w:line="264" w:lineRule="auto"/>
        <w:ind w:left="426" w:firstLine="0"/>
        <w:rPr>
          <w:i/>
          <w:lang w:val="vi-VN"/>
        </w:rPr>
      </w:pPr>
      <w:bookmarkStart w:id="44" w:name="_Hlk112694276"/>
      <w:r w:rsidRPr="00607BAF">
        <w:rPr>
          <w:lang w:val="vi-VN"/>
        </w:rPr>
        <w:t>Nguồn số 01: Khí thải từ ống khói sau hệ thống xử lý khí thải lò đốt;</w:t>
      </w:r>
    </w:p>
    <w:p w:rsidR="00BB6420" w:rsidRPr="00607BAF" w:rsidRDefault="00BB6420" w:rsidP="00BB6420">
      <w:pPr>
        <w:pStyle w:val="a"/>
        <w:tabs>
          <w:tab w:val="clear" w:pos="360"/>
        </w:tabs>
        <w:spacing w:line="264" w:lineRule="auto"/>
        <w:ind w:left="426" w:firstLine="0"/>
        <w:rPr>
          <w:i/>
          <w:lang w:val="vi-VN"/>
        </w:rPr>
      </w:pPr>
      <w:r>
        <w:t>Nguồn số 02: Khí thải từ ống khói của máy phát điện dự phòng.</w:t>
      </w:r>
    </w:p>
    <w:p w:rsidR="00BB6420" w:rsidRPr="00607BAF" w:rsidRDefault="00BB6420" w:rsidP="00BB6420">
      <w:pPr>
        <w:pStyle w:val="Heading3"/>
        <w:keepNext w:val="0"/>
        <w:keepLines w:val="0"/>
        <w:spacing w:line="264" w:lineRule="auto"/>
        <w:rPr>
          <w:lang w:val="vi-VN"/>
        </w:rPr>
      </w:pPr>
      <w:bookmarkStart w:id="45" w:name="_Toc112050738"/>
      <w:bookmarkStart w:id="46" w:name="_Toc117436727"/>
      <w:bookmarkStart w:id="47" w:name="_Toc125714740"/>
      <w:bookmarkStart w:id="48" w:name="_Toc125714825"/>
      <w:bookmarkEnd w:id="44"/>
      <w:r w:rsidRPr="00607BAF">
        <w:rPr>
          <w:lang w:val="vi-VN"/>
        </w:rPr>
        <w:t>6.2.2. Dòng khí thải</w:t>
      </w:r>
      <w:bookmarkEnd w:id="45"/>
      <w:r w:rsidRPr="00607BAF">
        <w:rPr>
          <w:lang w:val="vi-VN"/>
        </w:rPr>
        <w:t xml:space="preserve"> và lưu lượng khí thải tối đa</w:t>
      </w:r>
      <w:bookmarkEnd w:id="46"/>
      <w:bookmarkEnd w:id="47"/>
      <w:bookmarkEnd w:id="48"/>
    </w:p>
    <w:p w:rsidR="00BB6420" w:rsidRDefault="00BB6420" w:rsidP="00BB6420">
      <w:pPr>
        <w:rPr>
          <w:lang w:val="vi-VN"/>
        </w:rPr>
      </w:pPr>
      <w:bookmarkStart w:id="49" w:name="_Hlk112694368"/>
      <w:r w:rsidRPr="00607BAF">
        <w:rPr>
          <w:lang w:val="vi-VN"/>
        </w:rPr>
        <w:t>Dự án có 0</w:t>
      </w:r>
      <w:r>
        <w:t>2</w:t>
      </w:r>
      <w:r w:rsidRPr="00607BAF">
        <w:rPr>
          <w:lang w:val="vi-VN"/>
        </w:rPr>
        <w:t xml:space="preserve"> dòng khí thải: </w:t>
      </w:r>
    </w:p>
    <w:p w:rsidR="00BB6420" w:rsidRDefault="00BB6420" w:rsidP="00BB6420">
      <w:pPr>
        <w:pStyle w:val="a"/>
        <w:tabs>
          <w:tab w:val="clear" w:pos="360"/>
        </w:tabs>
        <w:rPr>
          <w:lang w:val="vi-VN"/>
        </w:rPr>
      </w:pPr>
      <w:r w:rsidRPr="00607BAF">
        <w:rPr>
          <w:lang w:val="vi-VN"/>
        </w:rPr>
        <w:t xml:space="preserve">Khí thải từ ống khói sau hệ thống xử lý khí thải, lưu lượng xả thải lớn nhất </w:t>
      </w:r>
      <w:r>
        <w:rPr>
          <w:szCs w:val="26"/>
          <w:lang w:eastAsia="x-none"/>
        </w:rPr>
        <w:t>74</w:t>
      </w:r>
      <w:r w:rsidRPr="00607BAF">
        <w:rPr>
          <w:szCs w:val="26"/>
          <w:lang w:val="vi-VN" w:eastAsia="x-none"/>
        </w:rPr>
        <w:t xml:space="preserve">.000 </w:t>
      </w:r>
      <w:r w:rsidRPr="00607BAF">
        <w:rPr>
          <w:lang w:val="vi-VN"/>
        </w:rPr>
        <w:t>m</w:t>
      </w:r>
      <w:r w:rsidRPr="00607BAF">
        <w:rPr>
          <w:vertAlign w:val="superscript"/>
          <w:lang w:val="vi-VN"/>
        </w:rPr>
        <w:t>3</w:t>
      </w:r>
      <w:r w:rsidRPr="00607BAF">
        <w:rPr>
          <w:lang w:val="vi-VN"/>
        </w:rPr>
        <w:t>/h;</w:t>
      </w:r>
    </w:p>
    <w:p w:rsidR="00BB6420" w:rsidRPr="00D63FC4" w:rsidRDefault="00BB6420" w:rsidP="00BB6420">
      <w:pPr>
        <w:pStyle w:val="a"/>
        <w:tabs>
          <w:tab w:val="clear" w:pos="360"/>
        </w:tabs>
        <w:rPr>
          <w:lang w:val="vi-VN"/>
        </w:rPr>
      </w:pPr>
      <w:r>
        <w:t xml:space="preserve">Khí thải từ ống khói của máy phát điện dự phòng, lưu lượng tối đa khoảng </w:t>
      </w:r>
      <w:r w:rsidRPr="00607BAF">
        <w:t>474 Nm</w:t>
      </w:r>
      <w:r w:rsidRPr="00D63FC4">
        <w:rPr>
          <w:vertAlign w:val="superscript"/>
        </w:rPr>
        <w:t>3</w:t>
      </w:r>
      <w:r w:rsidRPr="00607BAF">
        <w:t>/h</w:t>
      </w:r>
      <w:r>
        <w:t>.</w:t>
      </w:r>
    </w:p>
    <w:p w:rsidR="00BB6420" w:rsidRPr="00607BAF" w:rsidRDefault="00BB6420" w:rsidP="00BB6420">
      <w:pPr>
        <w:pStyle w:val="Heading3"/>
        <w:keepNext w:val="0"/>
        <w:keepLines w:val="0"/>
        <w:spacing w:line="264" w:lineRule="auto"/>
      </w:pPr>
      <w:bookmarkStart w:id="50" w:name="_Toc117436728"/>
      <w:bookmarkStart w:id="51" w:name="_Toc125714741"/>
      <w:bookmarkStart w:id="52" w:name="_Toc125714826"/>
      <w:bookmarkEnd w:id="49"/>
      <w:r w:rsidRPr="00607BAF">
        <w:t>6.2.3. Vị trí xả khí thải</w:t>
      </w:r>
      <w:bookmarkEnd w:id="50"/>
      <w:bookmarkEnd w:id="51"/>
      <w:bookmarkEnd w:id="52"/>
    </w:p>
    <w:p w:rsidR="00BB6420" w:rsidRPr="00D63FC4" w:rsidRDefault="00BB6420" w:rsidP="00BB6420">
      <w:pPr>
        <w:pStyle w:val="a"/>
        <w:tabs>
          <w:tab w:val="clear" w:pos="360"/>
        </w:tabs>
        <w:rPr>
          <w:i/>
          <w:lang w:val="vi-VN"/>
        </w:rPr>
      </w:pPr>
      <w:bookmarkStart w:id="53" w:name="_Hlk112694519"/>
      <w:r>
        <w:t>Dòng thải số 01</w:t>
      </w:r>
      <w:r w:rsidRPr="00607BAF">
        <w:rPr>
          <w:lang w:val="vi-VN"/>
        </w:rPr>
        <w:t xml:space="preserve">: Tương ứng với ống khói thải của hệ thống xử lý khí thải lò đốt, tọa độ vị trí xả khí thải: X(m) = </w:t>
      </w:r>
      <w:r w:rsidRPr="00607BAF">
        <w:t>2259</w:t>
      </w:r>
      <w:r>
        <w:t>446</w:t>
      </w:r>
      <w:r w:rsidRPr="00607BAF">
        <w:rPr>
          <w:lang w:val="vi-VN"/>
        </w:rPr>
        <w:t>; Y(m) = 5</w:t>
      </w:r>
      <w:r w:rsidRPr="00607BAF">
        <w:t>6</w:t>
      </w:r>
      <w:r>
        <w:t>4635, c</w:t>
      </w:r>
      <w:r w:rsidRPr="00607BAF">
        <w:rPr>
          <w:lang w:val="vi-VN"/>
        </w:rPr>
        <w:t>hiều cao ống khói 60m</w:t>
      </w:r>
      <w:r>
        <w:t>, đường kính trong miện ống khói 2m.</w:t>
      </w:r>
    </w:p>
    <w:p w:rsidR="00BB6420" w:rsidRPr="00D63FC4" w:rsidRDefault="00BB6420" w:rsidP="00BB6420">
      <w:pPr>
        <w:pStyle w:val="a"/>
        <w:tabs>
          <w:tab w:val="clear" w:pos="360"/>
        </w:tabs>
        <w:rPr>
          <w:i/>
          <w:lang w:val="vi-VN"/>
        </w:rPr>
      </w:pPr>
      <w:r>
        <w:t>Dòng thải số 01</w:t>
      </w:r>
      <w:r w:rsidRPr="00607BAF">
        <w:rPr>
          <w:lang w:val="vi-VN"/>
        </w:rPr>
        <w:t xml:space="preserve">: Tương ứng với ống khói thải của </w:t>
      </w:r>
      <w:r>
        <w:t>máy phát điện dự phòng</w:t>
      </w:r>
      <w:r w:rsidRPr="00607BAF">
        <w:rPr>
          <w:lang w:val="vi-VN"/>
        </w:rPr>
        <w:t xml:space="preserve">, tọa độ vị trí xả khí thải: X(m) = </w:t>
      </w:r>
      <w:r w:rsidRPr="00607BAF">
        <w:t>2259</w:t>
      </w:r>
      <w:r>
        <w:t>372</w:t>
      </w:r>
      <w:r w:rsidRPr="00607BAF">
        <w:rPr>
          <w:lang w:val="vi-VN"/>
        </w:rPr>
        <w:t>; Y(m) = 5</w:t>
      </w:r>
      <w:r w:rsidRPr="00607BAF">
        <w:t>6</w:t>
      </w:r>
      <w:r>
        <w:t>5123, c</w:t>
      </w:r>
      <w:r w:rsidRPr="00607BAF">
        <w:rPr>
          <w:lang w:val="vi-VN"/>
        </w:rPr>
        <w:t>hiều cao ống khói 60m</w:t>
      </w:r>
      <w:r>
        <w:t>, đường kính trong miện ống khói 2m.</w:t>
      </w:r>
    </w:p>
    <w:p w:rsidR="00BB6420" w:rsidRPr="00607BAF" w:rsidRDefault="00BB6420" w:rsidP="00BB6420">
      <w:pPr>
        <w:pStyle w:val="Heading3"/>
        <w:keepNext w:val="0"/>
        <w:keepLines w:val="0"/>
        <w:spacing w:line="312" w:lineRule="auto"/>
        <w:rPr>
          <w:lang w:val="vi-VN"/>
        </w:rPr>
      </w:pPr>
      <w:bookmarkStart w:id="54" w:name="_Toc112050739"/>
      <w:bookmarkStart w:id="55" w:name="_Toc117436729"/>
      <w:bookmarkStart w:id="56" w:name="_Toc125714742"/>
      <w:bookmarkStart w:id="57" w:name="_Toc125714827"/>
      <w:bookmarkEnd w:id="53"/>
      <w:r w:rsidRPr="00607BAF">
        <w:rPr>
          <w:lang w:val="vi-VN"/>
        </w:rPr>
        <w:t xml:space="preserve">6.2.4. Các chất ô nhiễm và giá trị giới hạn của các chất ô nhiễm theo dòng khí </w:t>
      </w:r>
      <w:sdt>
        <w:sdtPr>
          <w:tag w:val="goog_rdk_91"/>
          <w:id w:val="-537577474"/>
        </w:sdtPr>
        <w:sdtEndPr/>
        <w:sdtContent/>
      </w:sdt>
      <w:r w:rsidRPr="00607BAF">
        <w:rPr>
          <w:lang w:val="vi-VN"/>
        </w:rPr>
        <w:t>thải</w:t>
      </w:r>
      <w:bookmarkEnd w:id="54"/>
      <w:bookmarkEnd w:id="55"/>
      <w:bookmarkEnd w:id="56"/>
      <w:bookmarkEnd w:id="57"/>
    </w:p>
    <w:p w:rsidR="00BB6420" w:rsidRPr="00607BAF" w:rsidRDefault="00BB6420" w:rsidP="00BB6420">
      <w:pPr>
        <w:rPr>
          <w:lang w:val="vi-VN"/>
        </w:rPr>
      </w:pPr>
      <w:r>
        <w:t>Dòng k</w:t>
      </w:r>
      <w:r w:rsidRPr="00607BAF">
        <w:rPr>
          <w:lang w:val="vi-VN"/>
        </w:rPr>
        <w:t>hí thải</w:t>
      </w:r>
      <w:r>
        <w:t xml:space="preserve"> số 01 của hệ thống xử lý khí thải</w:t>
      </w:r>
      <w:r w:rsidRPr="00607BAF">
        <w:rPr>
          <w:lang w:val="vi-VN"/>
        </w:rPr>
        <w:t xml:space="preserve"> sau xử lý đạt </w:t>
      </w:r>
      <w:r w:rsidRPr="00607BAF">
        <w:rPr>
          <w:lang w:val="nb-NO"/>
        </w:rPr>
        <w:t>QCVN 61-MT:2016/BTNMT với Kv = 1,2 cho khu vực nông thôn và QCVN 30:2012/BTNMT cột B.</w:t>
      </w:r>
    </w:p>
    <w:p w:rsidR="00BB6420" w:rsidRPr="00607BAF" w:rsidRDefault="00BB6420" w:rsidP="00BB6420">
      <w:pPr>
        <w:pStyle w:val="Caption"/>
        <w:jc w:val="center"/>
        <w:rPr>
          <w:color w:val="auto"/>
          <w:sz w:val="26"/>
          <w:szCs w:val="26"/>
        </w:rPr>
      </w:pPr>
      <w:bookmarkStart w:id="58" w:name="_Toc126313959"/>
      <w:r w:rsidRPr="00607BAF">
        <w:rPr>
          <w:color w:val="auto"/>
          <w:sz w:val="26"/>
          <w:szCs w:val="26"/>
        </w:rPr>
        <w:t xml:space="preserve">Bảng 6. </w:t>
      </w:r>
      <w:r w:rsidRPr="00607BAF">
        <w:rPr>
          <w:color w:val="auto"/>
          <w:sz w:val="26"/>
          <w:szCs w:val="26"/>
        </w:rPr>
        <w:fldChar w:fldCharType="begin"/>
      </w:r>
      <w:r w:rsidRPr="00607BAF">
        <w:rPr>
          <w:color w:val="auto"/>
          <w:sz w:val="26"/>
          <w:szCs w:val="26"/>
        </w:rPr>
        <w:instrText xml:space="preserve"> SEQ Bảng_6. \* ARABIC </w:instrText>
      </w:r>
      <w:r w:rsidRPr="00607BAF">
        <w:rPr>
          <w:color w:val="auto"/>
          <w:sz w:val="26"/>
          <w:szCs w:val="26"/>
        </w:rPr>
        <w:fldChar w:fldCharType="separate"/>
      </w:r>
      <w:r>
        <w:rPr>
          <w:noProof/>
          <w:color w:val="auto"/>
          <w:sz w:val="26"/>
          <w:szCs w:val="26"/>
        </w:rPr>
        <w:t>2</w:t>
      </w:r>
      <w:r w:rsidRPr="00607BAF">
        <w:rPr>
          <w:color w:val="auto"/>
          <w:sz w:val="26"/>
          <w:szCs w:val="26"/>
        </w:rPr>
        <w:fldChar w:fldCharType="end"/>
      </w:r>
      <w:r w:rsidRPr="00607BAF">
        <w:rPr>
          <w:color w:val="auto"/>
          <w:sz w:val="26"/>
          <w:szCs w:val="26"/>
        </w:rPr>
        <w:t>. Giá trị giới hạn cho phép đối với dòng khí thải</w:t>
      </w:r>
      <w:bookmarkEnd w:id="58"/>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888"/>
        <w:gridCol w:w="1529"/>
        <w:gridCol w:w="2441"/>
      </w:tblGrid>
      <w:tr w:rsidR="00BB6420" w:rsidRPr="00607BAF" w:rsidTr="006D1CB3">
        <w:trPr>
          <w:trHeight w:val="519"/>
          <w:tblHeader/>
          <w:jc w:val="center"/>
        </w:trPr>
        <w:tc>
          <w:tcPr>
            <w:tcW w:w="721" w:type="dxa"/>
            <w:shd w:val="clear" w:color="auto" w:fill="auto"/>
            <w:vAlign w:val="center"/>
          </w:tcPr>
          <w:p w:rsidR="00BB6420" w:rsidRPr="00607BAF" w:rsidRDefault="00BB6420" w:rsidP="006D1CB3">
            <w:pPr>
              <w:spacing w:line="240" w:lineRule="auto"/>
              <w:ind w:firstLine="0"/>
              <w:jc w:val="center"/>
              <w:rPr>
                <w:b/>
                <w:lang w:val="pt-BR"/>
              </w:rPr>
            </w:pPr>
            <w:r w:rsidRPr="00607BAF">
              <w:rPr>
                <w:b/>
                <w:lang w:val="pt-BR"/>
              </w:rPr>
              <w:t>TT</w:t>
            </w:r>
          </w:p>
        </w:tc>
        <w:tc>
          <w:tcPr>
            <w:tcW w:w="3888" w:type="dxa"/>
            <w:shd w:val="clear" w:color="auto" w:fill="auto"/>
            <w:vAlign w:val="center"/>
          </w:tcPr>
          <w:p w:rsidR="00BB6420" w:rsidRPr="00607BAF" w:rsidRDefault="00BB6420" w:rsidP="006D1CB3">
            <w:pPr>
              <w:spacing w:line="240" w:lineRule="auto"/>
              <w:ind w:firstLine="0"/>
              <w:jc w:val="center"/>
              <w:rPr>
                <w:b/>
                <w:lang w:val="pt-BR"/>
              </w:rPr>
            </w:pPr>
            <w:r w:rsidRPr="00607BAF">
              <w:rPr>
                <w:b/>
                <w:lang w:val="pt-BR"/>
              </w:rPr>
              <w:t>Chất ô nhiễm</w:t>
            </w:r>
          </w:p>
        </w:tc>
        <w:tc>
          <w:tcPr>
            <w:tcW w:w="1529" w:type="dxa"/>
            <w:shd w:val="clear" w:color="auto" w:fill="auto"/>
            <w:vAlign w:val="center"/>
          </w:tcPr>
          <w:p w:rsidR="00BB6420" w:rsidRPr="00607BAF" w:rsidRDefault="00BB6420" w:rsidP="006D1CB3">
            <w:pPr>
              <w:spacing w:line="240" w:lineRule="auto"/>
              <w:ind w:firstLine="0"/>
              <w:jc w:val="center"/>
              <w:rPr>
                <w:b/>
                <w:lang w:val="pt-BR"/>
              </w:rPr>
            </w:pPr>
            <w:r w:rsidRPr="00607BAF">
              <w:rPr>
                <w:b/>
                <w:lang w:val="pt-BR"/>
              </w:rPr>
              <w:t>Đơn vị tính</w:t>
            </w:r>
          </w:p>
        </w:tc>
        <w:tc>
          <w:tcPr>
            <w:tcW w:w="2441" w:type="dxa"/>
            <w:vAlign w:val="center"/>
          </w:tcPr>
          <w:p w:rsidR="00BB6420" w:rsidRPr="00607BAF" w:rsidRDefault="00BB6420" w:rsidP="006D1CB3">
            <w:pPr>
              <w:spacing w:line="240" w:lineRule="auto"/>
              <w:ind w:right="-57" w:firstLine="0"/>
              <w:jc w:val="center"/>
              <w:rPr>
                <w:b/>
                <w:lang w:val="pt-BR"/>
              </w:rPr>
            </w:pPr>
            <w:r w:rsidRPr="00607BAF">
              <w:rPr>
                <w:b/>
                <w:szCs w:val="26"/>
              </w:rPr>
              <w:t>Giá trị giới hạn</w:t>
            </w:r>
          </w:p>
        </w:tc>
      </w:tr>
      <w:tr w:rsidR="00BB6420" w:rsidRPr="00607BAF" w:rsidTr="006D1CB3">
        <w:trPr>
          <w:trHeight w:val="427"/>
          <w:jc w:val="center"/>
        </w:trPr>
        <w:tc>
          <w:tcPr>
            <w:tcW w:w="721" w:type="dxa"/>
            <w:shd w:val="clear" w:color="auto" w:fill="auto"/>
            <w:vAlign w:val="center"/>
          </w:tcPr>
          <w:p w:rsidR="00BB6420" w:rsidRPr="00607BAF" w:rsidRDefault="00BB6420" w:rsidP="006D1CB3">
            <w:pPr>
              <w:spacing w:line="240" w:lineRule="auto"/>
              <w:ind w:firstLine="0"/>
              <w:jc w:val="center"/>
              <w:rPr>
                <w:lang w:val="fr-FR"/>
              </w:rPr>
            </w:pPr>
            <w:r w:rsidRPr="00607BAF">
              <w:rPr>
                <w:lang w:val="fr-FR"/>
              </w:rPr>
              <w:t>1</w:t>
            </w:r>
          </w:p>
        </w:tc>
        <w:tc>
          <w:tcPr>
            <w:tcW w:w="3888" w:type="dxa"/>
            <w:shd w:val="clear" w:color="auto" w:fill="auto"/>
            <w:vAlign w:val="center"/>
          </w:tcPr>
          <w:p w:rsidR="00BB6420" w:rsidRPr="00607BAF" w:rsidRDefault="00BB6420" w:rsidP="006D1CB3">
            <w:pPr>
              <w:spacing w:line="240" w:lineRule="auto"/>
              <w:ind w:firstLine="0"/>
            </w:pPr>
            <w:r w:rsidRPr="00607BAF">
              <w:t>Bụi tổng</w:t>
            </w:r>
          </w:p>
        </w:tc>
        <w:tc>
          <w:tcPr>
            <w:tcW w:w="1529" w:type="dxa"/>
            <w:shd w:val="clear" w:color="auto" w:fill="auto"/>
            <w:vAlign w:val="center"/>
          </w:tcPr>
          <w:p w:rsidR="00BB6420" w:rsidRPr="00607BAF" w:rsidRDefault="00BB6420" w:rsidP="006D1CB3">
            <w:pPr>
              <w:spacing w:line="240" w:lineRule="auto"/>
              <w:ind w:firstLine="0"/>
              <w:jc w:val="center"/>
            </w:pPr>
            <w:r w:rsidRPr="00607BAF">
              <w:t>mg/Nm</w:t>
            </w:r>
            <w:r w:rsidRPr="00607BAF">
              <w:rPr>
                <w:vertAlign w:val="superscript"/>
              </w:rPr>
              <w:t>3</w:t>
            </w:r>
          </w:p>
        </w:tc>
        <w:tc>
          <w:tcPr>
            <w:tcW w:w="2441" w:type="dxa"/>
            <w:vAlign w:val="center"/>
          </w:tcPr>
          <w:p w:rsidR="00BB6420" w:rsidRPr="00607BAF" w:rsidRDefault="00BB6420" w:rsidP="006D1CB3">
            <w:pPr>
              <w:spacing w:line="240" w:lineRule="auto"/>
              <w:ind w:firstLine="0"/>
              <w:jc w:val="center"/>
            </w:pPr>
            <w:r w:rsidRPr="00607BAF">
              <w:rPr>
                <w:szCs w:val="26"/>
              </w:rPr>
              <w:t>120</w:t>
            </w:r>
          </w:p>
        </w:tc>
      </w:tr>
      <w:tr w:rsidR="00BB6420" w:rsidRPr="00607BAF" w:rsidTr="006D1CB3">
        <w:trPr>
          <w:trHeight w:val="416"/>
          <w:jc w:val="center"/>
        </w:trPr>
        <w:tc>
          <w:tcPr>
            <w:tcW w:w="721" w:type="dxa"/>
            <w:shd w:val="clear" w:color="auto" w:fill="auto"/>
            <w:vAlign w:val="center"/>
          </w:tcPr>
          <w:p w:rsidR="00BB6420" w:rsidRPr="00607BAF" w:rsidRDefault="00BB6420" w:rsidP="006D1CB3">
            <w:pPr>
              <w:spacing w:line="240" w:lineRule="auto"/>
              <w:ind w:firstLine="0"/>
              <w:jc w:val="center"/>
              <w:rPr>
                <w:lang w:val="fr-FR"/>
              </w:rPr>
            </w:pPr>
            <w:r w:rsidRPr="00607BAF">
              <w:rPr>
                <w:lang w:val="fr-FR"/>
              </w:rPr>
              <w:t>2</w:t>
            </w:r>
          </w:p>
        </w:tc>
        <w:tc>
          <w:tcPr>
            <w:tcW w:w="3888" w:type="dxa"/>
            <w:shd w:val="clear" w:color="auto" w:fill="auto"/>
            <w:vAlign w:val="center"/>
          </w:tcPr>
          <w:p w:rsidR="00BB6420" w:rsidRPr="00607BAF" w:rsidRDefault="00BB6420" w:rsidP="006D1CB3">
            <w:pPr>
              <w:spacing w:line="240" w:lineRule="auto"/>
              <w:ind w:firstLine="0"/>
            </w:pPr>
            <w:r w:rsidRPr="00607BAF">
              <w:t>HCL</w:t>
            </w:r>
          </w:p>
        </w:tc>
        <w:tc>
          <w:tcPr>
            <w:tcW w:w="1529" w:type="dxa"/>
            <w:shd w:val="clear" w:color="auto" w:fill="auto"/>
            <w:vAlign w:val="center"/>
          </w:tcPr>
          <w:p w:rsidR="00BB6420" w:rsidRPr="00607BAF" w:rsidRDefault="00BB6420" w:rsidP="006D1CB3">
            <w:pPr>
              <w:spacing w:line="240" w:lineRule="auto"/>
              <w:ind w:firstLine="0"/>
              <w:jc w:val="center"/>
            </w:pPr>
            <w:r w:rsidRPr="00607BAF">
              <w:t>mg/Nm</w:t>
            </w:r>
            <w:r w:rsidRPr="00607BAF">
              <w:rPr>
                <w:vertAlign w:val="superscript"/>
              </w:rPr>
              <w:t>3</w:t>
            </w:r>
          </w:p>
        </w:tc>
        <w:tc>
          <w:tcPr>
            <w:tcW w:w="2441" w:type="dxa"/>
            <w:vAlign w:val="center"/>
          </w:tcPr>
          <w:p w:rsidR="00BB6420" w:rsidRPr="00607BAF" w:rsidRDefault="00BB6420" w:rsidP="006D1CB3">
            <w:pPr>
              <w:spacing w:line="240" w:lineRule="auto"/>
              <w:ind w:firstLine="0"/>
              <w:jc w:val="center"/>
            </w:pPr>
            <w:r w:rsidRPr="00607BAF">
              <w:rPr>
                <w:szCs w:val="26"/>
              </w:rPr>
              <w:t>60</w:t>
            </w:r>
          </w:p>
        </w:tc>
      </w:tr>
      <w:tr w:rsidR="00BB6420" w:rsidRPr="00607BAF" w:rsidTr="006D1CB3">
        <w:trPr>
          <w:trHeight w:val="416"/>
          <w:jc w:val="center"/>
        </w:trPr>
        <w:tc>
          <w:tcPr>
            <w:tcW w:w="721" w:type="dxa"/>
            <w:shd w:val="clear" w:color="auto" w:fill="auto"/>
            <w:vAlign w:val="center"/>
          </w:tcPr>
          <w:p w:rsidR="00BB6420" w:rsidRPr="00607BAF" w:rsidRDefault="00BB6420" w:rsidP="006D1CB3">
            <w:pPr>
              <w:spacing w:line="240" w:lineRule="auto"/>
              <w:ind w:firstLine="0"/>
              <w:jc w:val="center"/>
              <w:rPr>
                <w:lang w:val="fr-FR"/>
              </w:rPr>
            </w:pPr>
            <w:r w:rsidRPr="00607BAF">
              <w:rPr>
                <w:lang w:val="fr-FR"/>
              </w:rPr>
              <w:t>3</w:t>
            </w:r>
          </w:p>
        </w:tc>
        <w:tc>
          <w:tcPr>
            <w:tcW w:w="3888" w:type="dxa"/>
            <w:shd w:val="clear" w:color="auto" w:fill="auto"/>
            <w:vAlign w:val="center"/>
          </w:tcPr>
          <w:p w:rsidR="00BB6420" w:rsidRPr="00607BAF" w:rsidRDefault="00BB6420" w:rsidP="006D1CB3">
            <w:pPr>
              <w:spacing w:line="240" w:lineRule="auto"/>
              <w:ind w:firstLine="0"/>
            </w:pPr>
            <w:r w:rsidRPr="00607BAF">
              <w:t>CO</w:t>
            </w:r>
          </w:p>
        </w:tc>
        <w:tc>
          <w:tcPr>
            <w:tcW w:w="1529" w:type="dxa"/>
            <w:shd w:val="clear" w:color="auto" w:fill="auto"/>
            <w:vAlign w:val="center"/>
          </w:tcPr>
          <w:p w:rsidR="00BB6420" w:rsidRPr="00607BAF" w:rsidRDefault="00BB6420" w:rsidP="006D1CB3">
            <w:pPr>
              <w:spacing w:line="240" w:lineRule="auto"/>
              <w:ind w:firstLine="0"/>
              <w:jc w:val="center"/>
            </w:pPr>
            <w:r w:rsidRPr="00607BAF">
              <w:t>mg/Nm</w:t>
            </w:r>
            <w:r w:rsidRPr="00607BAF">
              <w:rPr>
                <w:vertAlign w:val="superscript"/>
              </w:rPr>
              <w:t>3</w:t>
            </w:r>
          </w:p>
        </w:tc>
        <w:tc>
          <w:tcPr>
            <w:tcW w:w="2441" w:type="dxa"/>
            <w:vAlign w:val="center"/>
          </w:tcPr>
          <w:p w:rsidR="00BB6420" w:rsidRPr="00607BAF" w:rsidRDefault="00BB6420" w:rsidP="006D1CB3">
            <w:pPr>
              <w:spacing w:line="240" w:lineRule="auto"/>
              <w:ind w:firstLine="0"/>
              <w:jc w:val="center"/>
            </w:pPr>
            <w:r w:rsidRPr="00607BAF">
              <w:rPr>
                <w:szCs w:val="26"/>
              </w:rPr>
              <w:t>300</w:t>
            </w:r>
          </w:p>
        </w:tc>
      </w:tr>
      <w:tr w:rsidR="00BB6420" w:rsidRPr="00607BAF" w:rsidTr="006D1CB3">
        <w:trPr>
          <w:trHeight w:val="235"/>
          <w:jc w:val="center"/>
        </w:trPr>
        <w:tc>
          <w:tcPr>
            <w:tcW w:w="721" w:type="dxa"/>
            <w:shd w:val="clear" w:color="auto" w:fill="auto"/>
            <w:vAlign w:val="center"/>
          </w:tcPr>
          <w:p w:rsidR="00BB6420" w:rsidRPr="00607BAF" w:rsidRDefault="00BB6420" w:rsidP="006D1CB3">
            <w:pPr>
              <w:spacing w:line="240" w:lineRule="auto"/>
              <w:ind w:firstLine="0"/>
              <w:jc w:val="center"/>
              <w:rPr>
                <w:lang w:val="fr-FR"/>
              </w:rPr>
            </w:pPr>
            <w:r w:rsidRPr="00607BAF">
              <w:rPr>
                <w:lang w:val="fr-FR"/>
              </w:rPr>
              <w:t>4</w:t>
            </w:r>
          </w:p>
        </w:tc>
        <w:tc>
          <w:tcPr>
            <w:tcW w:w="3888" w:type="dxa"/>
            <w:shd w:val="clear" w:color="auto" w:fill="auto"/>
            <w:vAlign w:val="center"/>
          </w:tcPr>
          <w:p w:rsidR="00BB6420" w:rsidRPr="00607BAF" w:rsidRDefault="00BB6420" w:rsidP="006D1CB3">
            <w:pPr>
              <w:spacing w:line="240" w:lineRule="auto"/>
              <w:ind w:firstLine="0"/>
            </w:pPr>
            <w:r w:rsidRPr="00607BAF">
              <w:t>SO</w:t>
            </w:r>
            <w:r w:rsidRPr="00607BAF">
              <w:rPr>
                <w:vertAlign w:val="subscript"/>
              </w:rPr>
              <w:t>2</w:t>
            </w:r>
          </w:p>
        </w:tc>
        <w:tc>
          <w:tcPr>
            <w:tcW w:w="1529" w:type="dxa"/>
            <w:shd w:val="clear" w:color="auto" w:fill="auto"/>
            <w:vAlign w:val="center"/>
          </w:tcPr>
          <w:p w:rsidR="00BB6420" w:rsidRPr="00607BAF" w:rsidRDefault="00BB6420" w:rsidP="006D1CB3">
            <w:pPr>
              <w:spacing w:line="240" w:lineRule="auto"/>
              <w:ind w:firstLine="0"/>
              <w:jc w:val="center"/>
            </w:pPr>
            <w:r w:rsidRPr="00607BAF">
              <w:t>mg/Nm</w:t>
            </w:r>
            <w:r w:rsidRPr="00607BAF">
              <w:rPr>
                <w:vertAlign w:val="superscript"/>
              </w:rPr>
              <w:t>3</w:t>
            </w:r>
          </w:p>
        </w:tc>
        <w:tc>
          <w:tcPr>
            <w:tcW w:w="2441" w:type="dxa"/>
            <w:vAlign w:val="center"/>
          </w:tcPr>
          <w:p w:rsidR="00BB6420" w:rsidRPr="00607BAF" w:rsidRDefault="00BB6420" w:rsidP="006D1CB3">
            <w:pPr>
              <w:spacing w:line="240" w:lineRule="auto"/>
              <w:ind w:firstLine="0"/>
              <w:jc w:val="center"/>
            </w:pPr>
            <w:r w:rsidRPr="00607BAF">
              <w:rPr>
                <w:szCs w:val="26"/>
              </w:rPr>
              <w:t>300</w:t>
            </w:r>
          </w:p>
        </w:tc>
      </w:tr>
      <w:tr w:rsidR="00BB6420" w:rsidRPr="00607BAF" w:rsidTr="006D1CB3">
        <w:trPr>
          <w:trHeight w:val="235"/>
          <w:jc w:val="center"/>
        </w:trPr>
        <w:tc>
          <w:tcPr>
            <w:tcW w:w="721" w:type="dxa"/>
            <w:shd w:val="clear" w:color="auto" w:fill="auto"/>
            <w:vAlign w:val="center"/>
          </w:tcPr>
          <w:p w:rsidR="00BB6420" w:rsidRPr="00607BAF" w:rsidRDefault="00BB6420" w:rsidP="006D1CB3">
            <w:pPr>
              <w:spacing w:line="240" w:lineRule="auto"/>
              <w:ind w:firstLine="0"/>
              <w:jc w:val="center"/>
              <w:rPr>
                <w:lang w:val="fr-FR"/>
              </w:rPr>
            </w:pPr>
            <w:r w:rsidRPr="00607BAF">
              <w:rPr>
                <w:lang w:val="fr-FR"/>
              </w:rPr>
              <w:t>5</w:t>
            </w:r>
          </w:p>
        </w:tc>
        <w:tc>
          <w:tcPr>
            <w:tcW w:w="3888" w:type="dxa"/>
            <w:shd w:val="clear" w:color="auto" w:fill="auto"/>
            <w:vAlign w:val="center"/>
          </w:tcPr>
          <w:p w:rsidR="00BB6420" w:rsidRPr="00607BAF" w:rsidRDefault="00BB6420" w:rsidP="006D1CB3">
            <w:pPr>
              <w:spacing w:line="240" w:lineRule="auto"/>
              <w:ind w:firstLine="0"/>
            </w:pPr>
            <w:r w:rsidRPr="00607BAF">
              <w:t>NO</w:t>
            </w:r>
            <w:r w:rsidRPr="00607BAF">
              <w:rPr>
                <w:vertAlign w:val="subscript"/>
              </w:rPr>
              <w:t>x</w:t>
            </w:r>
            <w:r w:rsidRPr="00607BAF">
              <w:t xml:space="preserve"> (tính theo NO</w:t>
            </w:r>
            <w:r w:rsidRPr="00607BAF">
              <w:rPr>
                <w:vertAlign w:val="subscript"/>
              </w:rPr>
              <w:t>2</w:t>
            </w:r>
            <w:r w:rsidRPr="00607BAF">
              <w:t>)</w:t>
            </w:r>
          </w:p>
        </w:tc>
        <w:tc>
          <w:tcPr>
            <w:tcW w:w="1529" w:type="dxa"/>
            <w:shd w:val="clear" w:color="auto" w:fill="auto"/>
            <w:vAlign w:val="center"/>
          </w:tcPr>
          <w:p w:rsidR="00BB6420" w:rsidRPr="00607BAF" w:rsidRDefault="00BB6420" w:rsidP="006D1CB3">
            <w:pPr>
              <w:spacing w:line="240" w:lineRule="auto"/>
              <w:ind w:firstLine="0"/>
              <w:jc w:val="center"/>
            </w:pPr>
            <w:r w:rsidRPr="00607BAF">
              <w:t>mg/Nm</w:t>
            </w:r>
            <w:r w:rsidRPr="00607BAF">
              <w:rPr>
                <w:vertAlign w:val="superscript"/>
              </w:rPr>
              <w:t>3</w:t>
            </w:r>
          </w:p>
        </w:tc>
        <w:tc>
          <w:tcPr>
            <w:tcW w:w="2441" w:type="dxa"/>
            <w:vAlign w:val="center"/>
          </w:tcPr>
          <w:p w:rsidR="00BB6420" w:rsidRPr="00607BAF" w:rsidRDefault="00BB6420" w:rsidP="006D1CB3">
            <w:pPr>
              <w:spacing w:line="240" w:lineRule="auto"/>
              <w:ind w:firstLine="0"/>
              <w:jc w:val="center"/>
            </w:pPr>
            <w:r w:rsidRPr="00607BAF">
              <w:rPr>
                <w:szCs w:val="26"/>
              </w:rPr>
              <w:t>600</w:t>
            </w:r>
          </w:p>
        </w:tc>
      </w:tr>
      <w:tr w:rsidR="00BB6420" w:rsidRPr="00607BAF" w:rsidTr="006D1CB3">
        <w:trPr>
          <w:trHeight w:val="235"/>
          <w:jc w:val="center"/>
        </w:trPr>
        <w:tc>
          <w:tcPr>
            <w:tcW w:w="721" w:type="dxa"/>
            <w:shd w:val="clear" w:color="auto" w:fill="auto"/>
            <w:vAlign w:val="center"/>
          </w:tcPr>
          <w:p w:rsidR="00BB6420" w:rsidRPr="00607BAF" w:rsidRDefault="00BB6420" w:rsidP="006D1CB3">
            <w:pPr>
              <w:spacing w:line="240" w:lineRule="auto"/>
              <w:ind w:firstLine="0"/>
              <w:jc w:val="center"/>
              <w:rPr>
                <w:lang w:val="fr-FR"/>
              </w:rPr>
            </w:pPr>
            <w:r w:rsidRPr="00607BAF">
              <w:rPr>
                <w:lang w:val="fr-FR"/>
              </w:rPr>
              <w:t>6</w:t>
            </w:r>
          </w:p>
        </w:tc>
        <w:tc>
          <w:tcPr>
            <w:tcW w:w="3888" w:type="dxa"/>
            <w:shd w:val="clear" w:color="auto" w:fill="auto"/>
            <w:vAlign w:val="center"/>
          </w:tcPr>
          <w:p w:rsidR="00BB6420" w:rsidRPr="00607BAF" w:rsidRDefault="00BB6420" w:rsidP="006D1CB3">
            <w:pPr>
              <w:spacing w:line="240" w:lineRule="auto"/>
              <w:ind w:firstLine="0"/>
            </w:pPr>
            <w:r w:rsidRPr="00607BAF">
              <w:t>Hg và các hợp chất tính theo Hg</w:t>
            </w:r>
          </w:p>
        </w:tc>
        <w:tc>
          <w:tcPr>
            <w:tcW w:w="1529" w:type="dxa"/>
            <w:shd w:val="clear" w:color="auto" w:fill="auto"/>
            <w:vAlign w:val="center"/>
          </w:tcPr>
          <w:p w:rsidR="00BB6420" w:rsidRPr="00607BAF" w:rsidRDefault="00BB6420" w:rsidP="006D1CB3">
            <w:pPr>
              <w:spacing w:line="240" w:lineRule="auto"/>
              <w:ind w:firstLine="0"/>
              <w:jc w:val="center"/>
            </w:pPr>
            <w:r w:rsidRPr="00607BAF">
              <w:t>mg/Nm</w:t>
            </w:r>
            <w:r w:rsidRPr="00607BAF">
              <w:rPr>
                <w:vertAlign w:val="superscript"/>
              </w:rPr>
              <w:t>3</w:t>
            </w:r>
          </w:p>
        </w:tc>
        <w:tc>
          <w:tcPr>
            <w:tcW w:w="2441" w:type="dxa"/>
            <w:vAlign w:val="center"/>
          </w:tcPr>
          <w:p w:rsidR="00BB6420" w:rsidRPr="00607BAF" w:rsidRDefault="00BB6420" w:rsidP="006D1CB3">
            <w:pPr>
              <w:spacing w:line="240" w:lineRule="auto"/>
              <w:ind w:firstLine="0"/>
              <w:jc w:val="center"/>
            </w:pPr>
            <w:r w:rsidRPr="00607BAF">
              <w:rPr>
                <w:szCs w:val="26"/>
              </w:rPr>
              <w:t>0,24</w:t>
            </w:r>
          </w:p>
        </w:tc>
      </w:tr>
      <w:tr w:rsidR="00BB6420" w:rsidRPr="00607BAF" w:rsidTr="006D1CB3">
        <w:trPr>
          <w:trHeight w:val="235"/>
          <w:jc w:val="center"/>
        </w:trPr>
        <w:tc>
          <w:tcPr>
            <w:tcW w:w="721" w:type="dxa"/>
            <w:shd w:val="clear" w:color="auto" w:fill="auto"/>
            <w:vAlign w:val="center"/>
          </w:tcPr>
          <w:p w:rsidR="00BB6420" w:rsidRPr="00607BAF" w:rsidRDefault="00BB6420" w:rsidP="006D1CB3">
            <w:pPr>
              <w:spacing w:line="240" w:lineRule="auto"/>
              <w:ind w:firstLine="0"/>
              <w:jc w:val="center"/>
              <w:rPr>
                <w:lang w:val="fr-FR"/>
              </w:rPr>
            </w:pPr>
            <w:r w:rsidRPr="00607BAF">
              <w:rPr>
                <w:lang w:val="fr-FR"/>
              </w:rPr>
              <w:t>7</w:t>
            </w:r>
          </w:p>
        </w:tc>
        <w:tc>
          <w:tcPr>
            <w:tcW w:w="3888" w:type="dxa"/>
            <w:shd w:val="clear" w:color="auto" w:fill="auto"/>
            <w:vAlign w:val="center"/>
          </w:tcPr>
          <w:p w:rsidR="00BB6420" w:rsidRPr="00607BAF" w:rsidRDefault="00BB6420" w:rsidP="006D1CB3">
            <w:pPr>
              <w:spacing w:line="240" w:lineRule="auto"/>
              <w:ind w:firstLine="0"/>
            </w:pPr>
            <w:r w:rsidRPr="00607BAF">
              <w:t>Cd và các hợp chất tính theo Cd</w:t>
            </w:r>
          </w:p>
        </w:tc>
        <w:tc>
          <w:tcPr>
            <w:tcW w:w="1529" w:type="dxa"/>
            <w:shd w:val="clear" w:color="auto" w:fill="auto"/>
            <w:vAlign w:val="center"/>
          </w:tcPr>
          <w:p w:rsidR="00BB6420" w:rsidRPr="00607BAF" w:rsidRDefault="00BB6420" w:rsidP="006D1CB3">
            <w:pPr>
              <w:spacing w:line="240" w:lineRule="auto"/>
              <w:ind w:firstLine="0"/>
              <w:jc w:val="center"/>
            </w:pPr>
            <w:r w:rsidRPr="00607BAF">
              <w:t>mg/Nm</w:t>
            </w:r>
            <w:r w:rsidRPr="00607BAF">
              <w:rPr>
                <w:vertAlign w:val="superscript"/>
              </w:rPr>
              <w:t>3</w:t>
            </w:r>
          </w:p>
        </w:tc>
        <w:tc>
          <w:tcPr>
            <w:tcW w:w="2441" w:type="dxa"/>
            <w:vAlign w:val="center"/>
          </w:tcPr>
          <w:p w:rsidR="00BB6420" w:rsidRPr="00607BAF" w:rsidRDefault="00BB6420" w:rsidP="006D1CB3">
            <w:pPr>
              <w:spacing w:line="240" w:lineRule="auto"/>
              <w:ind w:firstLine="0"/>
              <w:jc w:val="center"/>
            </w:pPr>
            <w:r w:rsidRPr="00607BAF">
              <w:rPr>
                <w:szCs w:val="26"/>
              </w:rPr>
              <w:t>0,192</w:t>
            </w:r>
          </w:p>
        </w:tc>
      </w:tr>
      <w:tr w:rsidR="00BB6420" w:rsidRPr="00607BAF" w:rsidTr="006D1CB3">
        <w:trPr>
          <w:trHeight w:val="235"/>
          <w:jc w:val="center"/>
        </w:trPr>
        <w:tc>
          <w:tcPr>
            <w:tcW w:w="721" w:type="dxa"/>
            <w:shd w:val="clear" w:color="auto" w:fill="auto"/>
            <w:vAlign w:val="center"/>
          </w:tcPr>
          <w:p w:rsidR="00BB6420" w:rsidRPr="00607BAF" w:rsidRDefault="00BB6420" w:rsidP="006D1CB3">
            <w:pPr>
              <w:spacing w:line="240" w:lineRule="auto"/>
              <w:ind w:firstLine="0"/>
              <w:jc w:val="center"/>
              <w:rPr>
                <w:lang w:val="fr-FR"/>
              </w:rPr>
            </w:pPr>
            <w:r w:rsidRPr="00607BAF">
              <w:rPr>
                <w:lang w:val="fr-FR"/>
              </w:rPr>
              <w:lastRenderedPageBreak/>
              <w:t>8</w:t>
            </w:r>
          </w:p>
        </w:tc>
        <w:tc>
          <w:tcPr>
            <w:tcW w:w="3888" w:type="dxa"/>
            <w:shd w:val="clear" w:color="auto" w:fill="auto"/>
            <w:vAlign w:val="center"/>
          </w:tcPr>
          <w:p w:rsidR="00BB6420" w:rsidRPr="00607BAF" w:rsidRDefault="00BB6420" w:rsidP="006D1CB3">
            <w:pPr>
              <w:spacing w:line="240" w:lineRule="auto"/>
              <w:ind w:firstLine="0"/>
            </w:pPr>
            <w:r w:rsidRPr="00607BAF">
              <w:t>Hg và các hợp chất tính theo Hg</w:t>
            </w:r>
          </w:p>
        </w:tc>
        <w:tc>
          <w:tcPr>
            <w:tcW w:w="1529" w:type="dxa"/>
            <w:shd w:val="clear" w:color="auto" w:fill="auto"/>
            <w:vAlign w:val="center"/>
          </w:tcPr>
          <w:p w:rsidR="00BB6420" w:rsidRPr="00607BAF" w:rsidRDefault="00BB6420" w:rsidP="006D1CB3">
            <w:pPr>
              <w:spacing w:line="240" w:lineRule="auto"/>
              <w:ind w:firstLine="0"/>
              <w:jc w:val="center"/>
            </w:pPr>
            <w:r w:rsidRPr="00607BAF">
              <w:t>mg/Nm</w:t>
            </w:r>
            <w:r w:rsidRPr="00607BAF">
              <w:rPr>
                <w:vertAlign w:val="superscript"/>
              </w:rPr>
              <w:t>3</w:t>
            </w:r>
          </w:p>
        </w:tc>
        <w:tc>
          <w:tcPr>
            <w:tcW w:w="2441" w:type="dxa"/>
            <w:vAlign w:val="center"/>
          </w:tcPr>
          <w:p w:rsidR="00BB6420" w:rsidRPr="00607BAF" w:rsidRDefault="00BB6420" w:rsidP="006D1CB3">
            <w:pPr>
              <w:spacing w:line="240" w:lineRule="auto"/>
              <w:ind w:firstLine="0"/>
              <w:jc w:val="center"/>
            </w:pPr>
            <w:r w:rsidRPr="00607BAF">
              <w:rPr>
                <w:szCs w:val="26"/>
              </w:rPr>
              <w:t>1,44</w:t>
            </w:r>
          </w:p>
        </w:tc>
      </w:tr>
      <w:tr w:rsidR="00BB6420" w:rsidRPr="00607BAF" w:rsidTr="006D1CB3">
        <w:trPr>
          <w:trHeight w:val="235"/>
          <w:jc w:val="center"/>
        </w:trPr>
        <w:tc>
          <w:tcPr>
            <w:tcW w:w="721" w:type="dxa"/>
            <w:shd w:val="clear" w:color="auto" w:fill="auto"/>
            <w:vAlign w:val="center"/>
          </w:tcPr>
          <w:p w:rsidR="00BB6420" w:rsidRPr="00607BAF" w:rsidRDefault="00BB6420" w:rsidP="006D1CB3">
            <w:pPr>
              <w:spacing w:line="240" w:lineRule="auto"/>
              <w:ind w:firstLine="0"/>
              <w:jc w:val="center"/>
              <w:rPr>
                <w:lang w:val="fr-FR"/>
              </w:rPr>
            </w:pPr>
            <w:r w:rsidRPr="00607BAF">
              <w:rPr>
                <w:lang w:val="fr-FR"/>
              </w:rPr>
              <w:t>9</w:t>
            </w:r>
          </w:p>
        </w:tc>
        <w:tc>
          <w:tcPr>
            <w:tcW w:w="3888" w:type="dxa"/>
            <w:shd w:val="clear" w:color="auto" w:fill="auto"/>
            <w:vAlign w:val="center"/>
          </w:tcPr>
          <w:p w:rsidR="00BB6420" w:rsidRPr="00607BAF" w:rsidRDefault="00BB6420" w:rsidP="006D1CB3">
            <w:pPr>
              <w:spacing w:line="240" w:lineRule="auto"/>
              <w:ind w:firstLine="0"/>
            </w:pPr>
            <w:r w:rsidRPr="00607BAF">
              <w:t>Tổng các kim loại nặng khác (As, Sb, Ni, Co, Cu, Cr, Sn, Mn, Ti, Zn) và hợp chất tương ứng</w:t>
            </w:r>
          </w:p>
        </w:tc>
        <w:tc>
          <w:tcPr>
            <w:tcW w:w="1529" w:type="dxa"/>
            <w:shd w:val="clear" w:color="auto" w:fill="auto"/>
            <w:vAlign w:val="center"/>
          </w:tcPr>
          <w:p w:rsidR="00BB6420" w:rsidRPr="00607BAF" w:rsidRDefault="00BB6420" w:rsidP="006D1CB3">
            <w:pPr>
              <w:spacing w:line="240" w:lineRule="auto"/>
              <w:ind w:firstLine="0"/>
              <w:jc w:val="center"/>
            </w:pPr>
            <w:r w:rsidRPr="00607BAF">
              <w:t>mg/Nm</w:t>
            </w:r>
            <w:r w:rsidRPr="00607BAF">
              <w:rPr>
                <w:vertAlign w:val="superscript"/>
              </w:rPr>
              <w:t>3</w:t>
            </w:r>
          </w:p>
        </w:tc>
        <w:tc>
          <w:tcPr>
            <w:tcW w:w="2441" w:type="dxa"/>
            <w:vAlign w:val="center"/>
          </w:tcPr>
          <w:p w:rsidR="00BB6420" w:rsidRPr="00607BAF" w:rsidRDefault="00BB6420" w:rsidP="006D1CB3">
            <w:pPr>
              <w:spacing w:line="240" w:lineRule="auto"/>
              <w:ind w:firstLine="0"/>
              <w:jc w:val="center"/>
            </w:pPr>
            <w:r w:rsidRPr="00607BAF">
              <w:rPr>
                <w:szCs w:val="26"/>
              </w:rPr>
              <w:t>1,2</w:t>
            </w:r>
            <w:r w:rsidRPr="00607BAF">
              <w:rPr>
                <w:szCs w:val="26"/>
                <w:vertAlign w:val="superscript"/>
              </w:rPr>
              <w:t>(*)</w:t>
            </w:r>
          </w:p>
        </w:tc>
      </w:tr>
      <w:tr w:rsidR="00BB6420" w:rsidRPr="00607BAF" w:rsidTr="006D1CB3">
        <w:trPr>
          <w:trHeight w:val="235"/>
          <w:jc w:val="center"/>
        </w:trPr>
        <w:tc>
          <w:tcPr>
            <w:tcW w:w="721" w:type="dxa"/>
            <w:shd w:val="clear" w:color="auto" w:fill="auto"/>
            <w:vAlign w:val="center"/>
          </w:tcPr>
          <w:p w:rsidR="00BB6420" w:rsidRPr="00607BAF" w:rsidRDefault="00BB6420" w:rsidP="006D1CB3">
            <w:pPr>
              <w:spacing w:line="240" w:lineRule="auto"/>
              <w:ind w:firstLine="0"/>
              <w:jc w:val="center"/>
              <w:rPr>
                <w:lang w:val="fr-FR"/>
              </w:rPr>
            </w:pPr>
            <w:r w:rsidRPr="00607BAF">
              <w:rPr>
                <w:lang w:val="fr-FR"/>
              </w:rPr>
              <w:t>10</w:t>
            </w:r>
          </w:p>
        </w:tc>
        <w:tc>
          <w:tcPr>
            <w:tcW w:w="3888" w:type="dxa"/>
            <w:shd w:val="clear" w:color="auto" w:fill="auto"/>
            <w:vAlign w:val="center"/>
          </w:tcPr>
          <w:p w:rsidR="00BB6420" w:rsidRPr="00607BAF" w:rsidRDefault="00BB6420" w:rsidP="006D1CB3">
            <w:pPr>
              <w:spacing w:line="240" w:lineRule="auto"/>
              <w:ind w:firstLine="0"/>
            </w:pPr>
            <w:r w:rsidRPr="00607BAF">
              <w:t>Tổng hydrocacbon, HC</w:t>
            </w:r>
          </w:p>
        </w:tc>
        <w:tc>
          <w:tcPr>
            <w:tcW w:w="1529" w:type="dxa"/>
            <w:shd w:val="clear" w:color="auto" w:fill="auto"/>
            <w:vAlign w:val="center"/>
          </w:tcPr>
          <w:p w:rsidR="00BB6420" w:rsidRPr="00607BAF" w:rsidRDefault="00BB6420" w:rsidP="006D1CB3">
            <w:pPr>
              <w:spacing w:line="240" w:lineRule="auto"/>
              <w:ind w:firstLine="0"/>
              <w:jc w:val="center"/>
            </w:pPr>
            <w:r w:rsidRPr="00607BAF">
              <w:t>mg/Nm</w:t>
            </w:r>
            <w:r w:rsidRPr="00607BAF">
              <w:rPr>
                <w:vertAlign w:val="superscript"/>
              </w:rPr>
              <w:t>3</w:t>
            </w:r>
          </w:p>
        </w:tc>
        <w:tc>
          <w:tcPr>
            <w:tcW w:w="2441" w:type="dxa"/>
            <w:vAlign w:val="center"/>
          </w:tcPr>
          <w:p w:rsidR="00BB6420" w:rsidRPr="00607BAF" w:rsidRDefault="00BB6420" w:rsidP="006D1CB3">
            <w:pPr>
              <w:spacing w:line="240" w:lineRule="auto"/>
              <w:ind w:firstLine="0"/>
              <w:jc w:val="center"/>
            </w:pPr>
            <w:r w:rsidRPr="00607BAF">
              <w:t>50</w:t>
            </w:r>
            <w:r w:rsidRPr="00607BAF">
              <w:rPr>
                <w:szCs w:val="26"/>
                <w:vertAlign w:val="superscript"/>
              </w:rPr>
              <w:t>(*)</w:t>
            </w:r>
          </w:p>
        </w:tc>
      </w:tr>
      <w:tr w:rsidR="00BB6420" w:rsidRPr="00607BAF" w:rsidTr="006D1CB3">
        <w:trPr>
          <w:trHeight w:val="235"/>
          <w:jc w:val="center"/>
        </w:trPr>
        <w:tc>
          <w:tcPr>
            <w:tcW w:w="721" w:type="dxa"/>
            <w:shd w:val="clear" w:color="auto" w:fill="auto"/>
            <w:vAlign w:val="center"/>
          </w:tcPr>
          <w:p w:rsidR="00BB6420" w:rsidRPr="00607BAF" w:rsidRDefault="00BB6420" w:rsidP="006D1CB3">
            <w:pPr>
              <w:spacing w:line="240" w:lineRule="auto"/>
              <w:ind w:firstLine="0"/>
              <w:jc w:val="center"/>
              <w:rPr>
                <w:lang w:val="fr-FR"/>
              </w:rPr>
            </w:pPr>
            <w:r w:rsidRPr="00607BAF">
              <w:rPr>
                <w:lang w:val="fr-FR"/>
              </w:rPr>
              <w:t>11</w:t>
            </w:r>
          </w:p>
        </w:tc>
        <w:tc>
          <w:tcPr>
            <w:tcW w:w="3888" w:type="dxa"/>
            <w:shd w:val="clear" w:color="auto" w:fill="auto"/>
            <w:vAlign w:val="center"/>
          </w:tcPr>
          <w:p w:rsidR="00BB6420" w:rsidRPr="00607BAF" w:rsidRDefault="00BB6420" w:rsidP="006D1CB3">
            <w:pPr>
              <w:spacing w:line="240" w:lineRule="auto"/>
              <w:ind w:firstLine="0"/>
            </w:pPr>
            <w:r w:rsidRPr="00607BAF">
              <w:t>Tổng đioxin/furan, PCDD/PCDF</w:t>
            </w:r>
          </w:p>
        </w:tc>
        <w:tc>
          <w:tcPr>
            <w:tcW w:w="1529" w:type="dxa"/>
            <w:shd w:val="clear" w:color="auto" w:fill="auto"/>
            <w:vAlign w:val="center"/>
          </w:tcPr>
          <w:p w:rsidR="00BB6420" w:rsidRPr="00607BAF" w:rsidRDefault="00BB6420" w:rsidP="006D1CB3">
            <w:pPr>
              <w:spacing w:line="240" w:lineRule="auto"/>
              <w:ind w:firstLine="0"/>
              <w:jc w:val="center"/>
            </w:pPr>
            <w:r w:rsidRPr="00607BAF">
              <w:t>ngTEQ/Nm</w:t>
            </w:r>
            <w:r w:rsidRPr="00607BAF">
              <w:rPr>
                <w:vertAlign w:val="superscript"/>
              </w:rPr>
              <w:t>3</w:t>
            </w:r>
          </w:p>
        </w:tc>
        <w:tc>
          <w:tcPr>
            <w:tcW w:w="2441" w:type="dxa"/>
            <w:vAlign w:val="center"/>
          </w:tcPr>
          <w:p w:rsidR="00BB6420" w:rsidRPr="00607BAF" w:rsidRDefault="00BB6420" w:rsidP="006D1CB3">
            <w:pPr>
              <w:spacing w:line="240" w:lineRule="auto"/>
              <w:ind w:firstLine="0"/>
              <w:jc w:val="center"/>
            </w:pPr>
            <w:r w:rsidRPr="00607BAF">
              <w:rPr>
                <w:szCs w:val="26"/>
              </w:rPr>
              <w:t>0,72</w:t>
            </w:r>
          </w:p>
        </w:tc>
      </w:tr>
      <w:tr w:rsidR="00BB6420" w:rsidRPr="00607BAF" w:rsidTr="006D1CB3">
        <w:trPr>
          <w:trHeight w:val="235"/>
          <w:jc w:val="center"/>
        </w:trPr>
        <w:tc>
          <w:tcPr>
            <w:tcW w:w="8579" w:type="dxa"/>
            <w:gridSpan w:val="4"/>
            <w:shd w:val="clear" w:color="auto" w:fill="auto"/>
            <w:vAlign w:val="center"/>
          </w:tcPr>
          <w:p w:rsidR="00BB6420" w:rsidRPr="00607BAF" w:rsidRDefault="00BB6420" w:rsidP="006D1CB3">
            <w:pPr>
              <w:spacing w:line="240" w:lineRule="auto"/>
              <w:ind w:firstLine="0"/>
              <w:jc w:val="center"/>
              <w:rPr>
                <w:szCs w:val="26"/>
              </w:rPr>
            </w:pPr>
            <w:r w:rsidRPr="00607BAF">
              <w:rPr>
                <w:szCs w:val="26"/>
                <w:vertAlign w:val="superscript"/>
              </w:rPr>
              <w:t>(*)</w:t>
            </w:r>
            <w:r w:rsidRPr="00607BAF">
              <w:rPr>
                <w:szCs w:val="26"/>
              </w:rPr>
              <w:t>: Các thông số có giá trị giới hạn theo QCVN 30:2012/BTNMT</w:t>
            </w:r>
          </w:p>
        </w:tc>
      </w:tr>
    </w:tbl>
    <w:p w:rsidR="00BB6420" w:rsidRPr="00607BAF" w:rsidRDefault="00BB6420" w:rsidP="00BB6420">
      <w:pPr>
        <w:pStyle w:val="Heading3"/>
        <w:keepNext w:val="0"/>
        <w:keepLines w:val="0"/>
        <w:spacing w:line="264" w:lineRule="auto"/>
      </w:pPr>
      <w:bookmarkStart w:id="59" w:name="_Toc112050740"/>
      <w:bookmarkStart w:id="60" w:name="_Toc117436730"/>
      <w:bookmarkStart w:id="61" w:name="_Toc125714743"/>
      <w:bookmarkStart w:id="62" w:name="_Toc125714828"/>
      <w:r w:rsidRPr="00607BAF">
        <w:t>6.2.5. Phương thức xả khí thải</w:t>
      </w:r>
      <w:bookmarkEnd w:id="59"/>
      <w:r w:rsidRPr="00607BAF">
        <w:t xml:space="preserve"> và nguồn tiếp nhận</w:t>
      </w:r>
      <w:bookmarkEnd w:id="60"/>
      <w:bookmarkEnd w:id="61"/>
      <w:bookmarkEnd w:id="62"/>
    </w:p>
    <w:p w:rsidR="00BB6420" w:rsidRPr="00607BAF" w:rsidRDefault="00BB6420" w:rsidP="00BB6420">
      <w:pPr>
        <w:pStyle w:val="a"/>
        <w:tabs>
          <w:tab w:val="clear" w:pos="360"/>
        </w:tabs>
        <w:rPr>
          <w:szCs w:val="26"/>
        </w:rPr>
      </w:pPr>
      <w:r>
        <w:rPr>
          <w:szCs w:val="26"/>
        </w:rPr>
        <w:t>Chế độ</w:t>
      </w:r>
      <w:r w:rsidRPr="00607BAF">
        <w:rPr>
          <w:szCs w:val="26"/>
        </w:rPr>
        <w:t xml:space="preserve"> xả thải</w:t>
      </w:r>
      <w:r w:rsidRPr="00607BAF">
        <w:t>: xả thải liên tục (24/24h khi hoạt động);</w:t>
      </w:r>
    </w:p>
    <w:p w:rsidR="00BB6420" w:rsidRPr="00607BAF" w:rsidRDefault="00BB6420" w:rsidP="00BB6420">
      <w:pPr>
        <w:pStyle w:val="a"/>
        <w:tabs>
          <w:tab w:val="clear" w:pos="360"/>
        </w:tabs>
      </w:pPr>
      <w:r w:rsidRPr="00607BAF">
        <w:rPr>
          <w:szCs w:val="26"/>
        </w:rPr>
        <w:t>Nguồn tiếp nhận khí thải: khu vực không khí xung quanh tại khu vực.</w:t>
      </w:r>
      <w:r w:rsidRPr="00607BAF">
        <w:t xml:space="preserve"> </w:t>
      </w:r>
    </w:p>
    <w:p w:rsidR="00BB6420" w:rsidRPr="00607BAF" w:rsidRDefault="00BB6420" w:rsidP="00BB6420">
      <w:pPr>
        <w:pStyle w:val="Heading2"/>
        <w:rPr>
          <w:rFonts w:cs="Times New Roman"/>
        </w:rPr>
      </w:pPr>
      <w:bookmarkStart w:id="63" w:name="_Toc125714744"/>
      <w:bookmarkStart w:id="64" w:name="_Toc125714829"/>
      <w:r w:rsidRPr="00607BAF">
        <w:rPr>
          <w:rStyle w:val="Vnbnnidung"/>
        </w:rPr>
        <w:t>6.3</w:t>
      </w:r>
      <w:bookmarkEnd w:id="42"/>
      <w:r w:rsidRPr="00607BAF">
        <w:rPr>
          <w:rStyle w:val="Vnbnnidung"/>
        </w:rPr>
        <w:t xml:space="preserve">. Nội dung đề nghị cấp phép đối với tiếng ồn, </w:t>
      </w:r>
      <w:r w:rsidRPr="00607BAF">
        <w:rPr>
          <w:rStyle w:val="Vnbnnidung"/>
          <w:u w:color="FF0000"/>
        </w:rPr>
        <w:t>độ rung</w:t>
      </w:r>
      <w:r w:rsidRPr="00607BAF">
        <w:rPr>
          <w:rStyle w:val="Vnbnnidung"/>
        </w:rPr>
        <w:t>:</w:t>
      </w:r>
      <w:bookmarkEnd w:id="43"/>
      <w:bookmarkEnd w:id="63"/>
      <w:bookmarkEnd w:id="64"/>
    </w:p>
    <w:p w:rsidR="00BB6420" w:rsidRPr="00607BAF" w:rsidRDefault="00BB6420" w:rsidP="00BB6420">
      <w:bookmarkStart w:id="65" w:name="_Hlk112694702"/>
      <w:r w:rsidRPr="00607BAF">
        <w:t>Nguồn phát sinh:</w:t>
      </w:r>
    </w:p>
    <w:p w:rsidR="00BB6420" w:rsidRPr="00607BAF" w:rsidRDefault="00BB6420" w:rsidP="00BB6420">
      <w:pPr>
        <w:pStyle w:val="a"/>
        <w:tabs>
          <w:tab w:val="clear" w:pos="360"/>
        </w:tabs>
        <w:spacing w:line="264" w:lineRule="auto"/>
        <w:ind w:left="426" w:firstLine="0"/>
        <w:rPr>
          <w:i/>
          <w:lang w:val="vi-VN"/>
        </w:rPr>
      </w:pPr>
      <w:r w:rsidRPr="00607BAF">
        <w:rPr>
          <w:lang w:val="vi-VN"/>
        </w:rPr>
        <w:t>Nguồn số 01: Khu vực tiếp nhận rác thải;</w:t>
      </w:r>
    </w:p>
    <w:p w:rsidR="00BB6420" w:rsidRPr="00607BAF" w:rsidRDefault="00BB6420" w:rsidP="00BB6420">
      <w:pPr>
        <w:pStyle w:val="a"/>
        <w:tabs>
          <w:tab w:val="clear" w:pos="360"/>
        </w:tabs>
        <w:spacing w:line="264" w:lineRule="auto"/>
        <w:ind w:left="426" w:firstLine="0"/>
        <w:rPr>
          <w:i/>
          <w:lang w:val="vi-VN"/>
        </w:rPr>
      </w:pPr>
      <w:r w:rsidRPr="00607BAF">
        <w:rPr>
          <w:lang w:val="vi-VN"/>
        </w:rPr>
        <w:t>Nguồn số 02: Khu vực nhà máy chính;</w:t>
      </w:r>
    </w:p>
    <w:p w:rsidR="00BB6420" w:rsidRPr="00607BAF" w:rsidRDefault="00BB6420" w:rsidP="00BB6420">
      <w:pPr>
        <w:pStyle w:val="a"/>
        <w:tabs>
          <w:tab w:val="clear" w:pos="360"/>
        </w:tabs>
        <w:spacing w:line="264" w:lineRule="auto"/>
        <w:ind w:left="426" w:firstLine="0"/>
        <w:rPr>
          <w:i/>
          <w:lang w:val="vi-VN"/>
        </w:rPr>
      </w:pPr>
      <w:r w:rsidRPr="00607BAF">
        <w:rPr>
          <w:lang w:val="vi-VN"/>
        </w:rPr>
        <w:t xml:space="preserve">Nguồn số 03: Khu vực hoạt động của máy phát điện dự phòng; </w:t>
      </w:r>
    </w:p>
    <w:p w:rsidR="00BB6420" w:rsidRPr="00607BAF" w:rsidRDefault="00BB6420" w:rsidP="00BB6420">
      <w:pPr>
        <w:pStyle w:val="a"/>
        <w:tabs>
          <w:tab w:val="clear" w:pos="360"/>
        </w:tabs>
        <w:spacing w:line="264" w:lineRule="auto"/>
        <w:ind w:left="426" w:firstLine="0"/>
        <w:rPr>
          <w:i/>
          <w:lang w:val="vi-VN"/>
        </w:rPr>
      </w:pPr>
      <w:r w:rsidRPr="00607BAF">
        <w:rPr>
          <w:lang w:val="vi-VN"/>
        </w:rPr>
        <w:t>Nguồn số 04: Khu vực hệ thống xử lý nước thải.</w:t>
      </w:r>
    </w:p>
    <w:p w:rsidR="00BB6420" w:rsidRPr="00607BAF" w:rsidRDefault="00BB6420" w:rsidP="00BB6420">
      <w:pPr>
        <w:rPr>
          <w:lang w:val="vi-VN"/>
        </w:rPr>
      </w:pPr>
      <w:r w:rsidRPr="00607BAF">
        <w:rPr>
          <w:lang w:val="vi-VN"/>
        </w:rPr>
        <w:t>Vị trí phát sinh tiếng ồn, độ rung:</w:t>
      </w:r>
    </w:p>
    <w:p w:rsidR="00BB6420" w:rsidRPr="00607BAF" w:rsidRDefault="00BB6420" w:rsidP="00BB6420">
      <w:pPr>
        <w:pStyle w:val="a"/>
        <w:tabs>
          <w:tab w:val="clear" w:pos="360"/>
        </w:tabs>
        <w:spacing w:line="264" w:lineRule="auto"/>
        <w:ind w:left="426" w:firstLine="0"/>
        <w:rPr>
          <w:i/>
          <w:lang w:val="vi-VN"/>
        </w:rPr>
      </w:pPr>
      <w:r w:rsidRPr="00607BAF">
        <w:rPr>
          <w:lang w:val="vi-VN"/>
        </w:rPr>
        <w:t>Nguồn số 01 có tọa độ: X(m) = 2249751; Y(m) = 596543</w:t>
      </w:r>
    </w:p>
    <w:p w:rsidR="00BB6420" w:rsidRPr="00607BAF" w:rsidRDefault="00BB6420" w:rsidP="00BB6420">
      <w:pPr>
        <w:pStyle w:val="a"/>
        <w:tabs>
          <w:tab w:val="clear" w:pos="360"/>
        </w:tabs>
        <w:spacing w:line="264" w:lineRule="auto"/>
        <w:ind w:left="426" w:firstLine="0"/>
        <w:rPr>
          <w:i/>
          <w:lang w:val="vi-VN"/>
        </w:rPr>
      </w:pPr>
      <w:r w:rsidRPr="00607BAF">
        <w:rPr>
          <w:lang w:val="vi-VN"/>
        </w:rPr>
        <w:t>Nguồn số 02 có tọa độ: X(m) = 2249689; Y(m) = 596745</w:t>
      </w:r>
    </w:p>
    <w:p w:rsidR="00BB6420" w:rsidRPr="00607BAF" w:rsidRDefault="00BB6420" w:rsidP="00BB6420">
      <w:pPr>
        <w:pStyle w:val="a"/>
        <w:tabs>
          <w:tab w:val="clear" w:pos="360"/>
        </w:tabs>
        <w:spacing w:line="264" w:lineRule="auto"/>
        <w:ind w:left="426" w:firstLine="0"/>
        <w:rPr>
          <w:i/>
          <w:lang w:val="vi-VN"/>
        </w:rPr>
      </w:pPr>
      <w:r w:rsidRPr="00607BAF">
        <w:rPr>
          <w:lang w:val="vi-VN"/>
        </w:rPr>
        <w:t>Nguồn số 03 có tọa độ: X(m) = 2249812; Y(m) = 596675</w:t>
      </w:r>
    </w:p>
    <w:p w:rsidR="00BB6420" w:rsidRPr="00607BAF" w:rsidRDefault="00BB6420" w:rsidP="00BB6420">
      <w:pPr>
        <w:pStyle w:val="a"/>
        <w:tabs>
          <w:tab w:val="clear" w:pos="360"/>
        </w:tabs>
        <w:spacing w:line="264" w:lineRule="auto"/>
        <w:ind w:left="426" w:firstLine="0"/>
        <w:rPr>
          <w:i/>
          <w:lang w:val="vi-VN"/>
        </w:rPr>
      </w:pPr>
      <w:r w:rsidRPr="00607BAF">
        <w:rPr>
          <w:lang w:val="vi-VN"/>
        </w:rPr>
        <w:t>Nguồn số 04 có tọa độ: X(m) = 2249637; Y(m) = 596748</w:t>
      </w:r>
    </w:p>
    <w:p w:rsidR="00BB6420" w:rsidRPr="00607BAF" w:rsidRDefault="00BB6420" w:rsidP="00BB6420">
      <w:pPr>
        <w:spacing w:line="264" w:lineRule="auto"/>
        <w:ind w:firstLine="0"/>
        <w:rPr>
          <w:lang w:val="pt-BR"/>
        </w:rPr>
      </w:pPr>
      <w:r w:rsidRPr="00607BAF">
        <w:rPr>
          <w:lang w:val="pt-BR"/>
        </w:rPr>
        <w:t>Giá trị giới hạn: Tiếng ồn, độ rung phát sinh tại Dự án đảm bảo đáp ứng yêu cầu về bảo vệ môi trường và quy chuẩn kỹ thuật môi trường đối với tiếng ồn, độ rung: Quy chuẩn kỹ thuật môi trường đối với tiếng ồn, độ rung QCVN 26:2010/BTNMT Quy chuẩn kỹ thuật quốc gia về tiếng ồn và QCVN 27:2010/BTNMT - Quy chuẩn kỹ thuật quốc gia về độ rung cụ thể:</w:t>
      </w:r>
    </w:p>
    <w:p w:rsidR="00BB6420" w:rsidRPr="00607BAF" w:rsidRDefault="00BB6420" w:rsidP="00BB6420">
      <w:pPr>
        <w:tabs>
          <w:tab w:val="left" w:pos="1106"/>
        </w:tabs>
        <w:adjustRightInd w:val="0"/>
        <w:snapToGrid w:val="0"/>
        <w:spacing w:before="60" w:line="312" w:lineRule="auto"/>
        <w:ind w:firstLine="720"/>
        <w:rPr>
          <w:iCs/>
          <w:szCs w:val="26"/>
        </w:rPr>
      </w:pPr>
      <w:r w:rsidRPr="00607BAF">
        <w:rPr>
          <w:iCs/>
          <w:szCs w:val="26"/>
        </w:rPr>
        <w:t>a) Tiếng ồn:</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2209"/>
        <w:gridCol w:w="2570"/>
        <w:gridCol w:w="2580"/>
      </w:tblGrid>
      <w:tr w:rsidR="00BB6420" w:rsidRPr="00607BAF" w:rsidTr="006D1CB3">
        <w:trPr>
          <w:trHeight w:val="478"/>
          <w:jc w:val="center"/>
        </w:trPr>
        <w:tc>
          <w:tcPr>
            <w:tcW w:w="1070" w:type="dxa"/>
            <w:shd w:val="clear" w:color="auto" w:fill="auto"/>
            <w:tcMar>
              <w:left w:w="28" w:type="dxa"/>
              <w:right w:w="28" w:type="dxa"/>
            </w:tcMar>
            <w:vAlign w:val="center"/>
          </w:tcPr>
          <w:p w:rsidR="00BB6420" w:rsidRPr="00607BAF" w:rsidRDefault="00BB6420" w:rsidP="006D1CB3">
            <w:pPr>
              <w:spacing w:line="240" w:lineRule="auto"/>
              <w:ind w:firstLine="0"/>
              <w:jc w:val="center"/>
              <w:rPr>
                <w:b/>
                <w:bCs/>
                <w:szCs w:val="26"/>
              </w:rPr>
            </w:pPr>
            <w:r w:rsidRPr="00607BAF">
              <w:rPr>
                <w:b/>
                <w:bCs/>
                <w:szCs w:val="26"/>
              </w:rPr>
              <w:t>TT</w:t>
            </w:r>
          </w:p>
        </w:tc>
        <w:tc>
          <w:tcPr>
            <w:tcW w:w="2209" w:type="dxa"/>
            <w:shd w:val="clear" w:color="auto" w:fill="auto"/>
            <w:tcMar>
              <w:left w:w="28" w:type="dxa"/>
              <w:right w:w="28" w:type="dxa"/>
            </w:tcMar>
            <w:vAlign w:val="center"/>
          </w:tcPr>
          <w:p w:rsidR="00BB6420" w:rsidRPr="00607BAF" w:rsidRDefault="00BB6420" w:rsidP="006D1CB3">
            <w:pPr>
              <w:spacing w:line="240" w:lineRule="auto"/>
              <w:ind w:firstLine="0"/>
              <w:jc w:val="center"/>
              <w:rPr>
                <w:b/>
                <w:bCs/>
                <w:szCs w:val="26"/>
              </w:rPr>
            </w:pPr>
            <w:r w:rsidRPr="00607BAF">
              <w:rPr>
                <w:b/>
                <w:bCs/>
                <w:szCs w:val="26"/>
              </w:rPr>
              <w:t>Từ 6-21 giờ (dBA)</w:t>
            </w:r>
          </w:p>
        </w:tc>
        <w:tc>
          <w:tcPr>
            <w:tcW w:w="2570" w:type="dxa"/>
            <w:shd w:val="clear" w:color="auto" w:fill="auto"/>
            <w:tcMar>
              <w:left w:w="28" w:type="dxa"/>
              <w:right w:w="28" w:type="dxa"/>
            </w:tcMar>
            <w:vAlign w:val="center"/>
          </w:tcPr>
          <w:p w:rsidR="00BB6420" w:rsidRPr="00607BAF" w:rsidRDefault="00BB6420" w:rsidP="006D1CB3">
            <w:pPr>
              <w:spacing w:line="240" w:lineRule="auto"/>
              <w:ind w:firstLine="0"/>
              <w:jc w:val="center"/>
              <w:rPr>
                <w:b/>
                <w:bCs/>
                <w:szCs w:val="26"/>
              </w:rPr>
            </w:pPr>
            <w:r w:rsidRPr="00607BAF">
              <w:rPr>
                <w:b/>
                <w:bCs/>
                <w:szCs w:val="26"/>
              </w:rPr>
              <w:t>Từ 21-6 giờ (dBA)</w:t>
            </w:r>
          </w:p>
        </w:tc>
        <w:tc>
          <w:tcPr>
            <w:tcW w:w="2580" w:type="dxa"/>
            <w:shd w:val="clear" w:color="auto" w:fill="auto"/>
            <w:tcMar>
              <w:left w:w="28" w:type="dxa"/>
              <w:right w:w="28" w:type="dxa"/>
            </w:tcMar>
            <w:vAlign w:val="center"/>
          </w:tcPr>
          <w:p w:rsidR="00BB6420" w:rsidRPr="00607BAF" w:rsidRDefault="00BB6420" w:rsidP="006D1CB3">
            <w:pPr>
              <w:spacing w:line="240" w:lineRule="auto"/>
              <w:ind w:firstLine="0"/>
              <w:jc w:val="center"/>
              <w:rPr>
                <w:b/>
                <w:bCs/>
                <w:szCs w:val="26"/>
              </w:rPr>
            </w:pPr>
            <w:r w:rsidRPr="00607BAF">
              <w:rPr>
                <w:b/>
                <w:bCs/>
                <w:szCs w:val="26"/>
              </w:rPr>
              <w:t>Ghi chú</w:t>
            </w:r>
          </w:p>
        </w:tc>
      </w:tr>
      <w:tr w:rsidR="00BB6420" w:rsidRPr="00607BAF" w:rsidTr="006D1CB3">
        <w:trPr>
          <w:trHeight w:val="471"/>
          <w:jc w:val="center"/>
        </w:trPr>
        <w:tc>
          <w:tcPr>
            <w:tcW w:w="1070" w:type="dxa"/>
            <w:shd w:val="clear" w:color="auto" w:fill="auto"/>
            <w:tcMar>
              <w:left w:w="28" w:type="dxa"/>
              <w:right w:w="28" w:type="dxa"/>
            </w:tcMar>
            <w:vAlign w:val="center"/>
          </w:tcPr>
          <w:p w:rsidR="00BB6420" w:rsidRPr="00607BAF" w:rsidRDefault="00BB6420" w:rsidP="006D1CB3">
            <w:pPr>
              <w:spacing w:line="240" w:lineRule="auto"/>
              <w:ind w:firstLine="0"/>
              <w:jc w:val="center"/>
              <w:rPr>
                <w:bCs/>
                <w:szCs w:val="26"/>
              </w:rPr>
            </w:pPr>
            <w:r w:rsidRPr="00607BAF">
              <w:rPr>
                <w:bCs/>
                <w:szCs w:val="26"/>
              </w:rPr>
              <w:t>1</w:t>
            </w:r>
          </w:p>
        </w:tc>
        <w:tc>
          <w:tcPr>
            <w:tcW w:w="2209" w:type="dxa"/>
            <w:shd w:val="clear" w:color="auto" w:fill="auto"/>
            <w:tcMar>
              <w:left w:w="28" w:type="dxa"/>
              <w:right w:w="28" w:type="dxa"/>
            </w:tcMar>
            <w:vAlign w:val="center"/>
          </w:tcPr>
          <w:p w:rsidR="00BB6420" w:rsidRPr="00607BAF" w:rsidRDefault="00BB6420" w:rsidP="006D1CB3">
            <w:pPr>
              <w:spacing w:line="240" w:lineRule="auto"/>
              <w:ind w:firstLine="0"/>
              <w:jc w:val="center"/>
              <w:rPr>
                <w:bCs/>
                <w:szCs w:val="26"/>
              </w:rPr>
            </w:pPr>
            <w:r w:rsidRPr="00607BAF">
              <w:rPr>
                <w:bCs/>
                <w:szCs w:val="26"/>
              </w:rPr>
              <w:t>70</w:t>
            </w:r>
          </w:p>
        </w:tc>
        <w:tc>
          <w:tcPr>
            <w:tcW w:w="2570" w:type="dxa"/>
            <w:shd w:val="clear" w:color="auto" w:fill="auto"/>
            <w:tcMar>
              <w:left w:w="28" w:type="dxa"/>
              <w:right w:w="28" w:type="dxa"/>
            </w:tcMar>
            <w:vAlign w:val="center"/>
          </w:tcPr>
          <w:p w:rsidR="00BB6420" w:rsidRPr="00607BAF" w:rsidRDefault="00BB6420" w:rsidP="006D1CB3">
            <w:pPr>
              <w:spacing w:line="240" w:lineRule="auto"/>
              <w:ind w:firstLine="0"/>
              <w:jc w:val="center"/>
              <w:rPr>
                <w:bCs/>
                <w:szCs w:val="26"/>
              </w:rPr>
            </w:pPr>
            <w:r w:rsidRPr="00607BAF">
              <w:rPr>
                <w:bCs/>
                <w:szCs w:val="26"/>
              </w:rPr>
              <w:t>55</w:t>
            </w:r>
          </w:p>
        </w:tc>
        <w:tc>
          <w:tcPr>
            <w:tcW w:w="2580" w:type="dxa"/>
            <w:shd w:val="clear" w:color="auto" w:fill="auto"/>
            <w:tcMar>
              <w:left w:w="28" w:type="dxa"/>
              <w:right w:w="28" w:type="dxa"/>
            </w:tcMar>
            <w:vAlign w:val="center"/>
          </w:tcPr>
          <w:p w:rsidR="00BB6420" w:rsidRPr="00607BAF" w:rsidRDefault="00BB6420" w:rsidP="006D1CB3">
            <w:pPr>
              <w:spacing w:line="240" w:lineRule="auto"/>
              <w:ind w:firstLine="0"/>
              <w:jc w:val="center"/>
              <w:rPr>
                <w:bCs/>
                <w:szCs w:val="26"/>
              </w:rPr>
            </w:pPr>
            <w:r w:rsidRPr="00607BAF">
              <w:rPr>
                <w:bCs/>
                <w:szCs w:val="26"/>
              </w:rPr>
              <w:t>Khu vực thông thường</w:t>
            </w:r>
          </w:p>
        </w:tc>
      </w:tr>
    </w:tbl>
    <w:p w:rsidR="00BB6420" w:rsidRPr="00607BAF" w:rsidRDefault="00BB6420" w:rsidP="00BB6420">
      <w:pPr>
        <w:tabs>
          <w:tab w:val="left" w:pos="1106"/>
        </w:tabs>
        <w:adjustRightInd w:val="0"/>
        <w:snapToGrid w:val="0"/>
        <w:spacing w:before="60" w:line="312" w:lineRule="auto"/>
        <w:ind w:firstLine="720"/>
        <w:rPr>
          <w:iCs/>
          <w:szCs w:val="26"/>
        </w:rPr>
      </w:pPr>
      <w:r w:rsidRPr="00607BAF">
        <w:rPr>
          <w:iCs/>
          <w:szCs w:val="26"/>
        </w:rPr>
        <w:t>b) Độ rung:</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982"/>
        <w:gridCol w:w="2299"/>
        <w:gridCol w:w="3326"/>
      </w:tblGrid>
      <w:tr w:rsidR="00BB6420" w:rsidRPr="00607BAF" w:rsidTr="006D1CB3">
        <w:trPr>
          <w:trHeight w:val="743"/>
          <w:jc w:val="center"/>
        </w:trPr>
        <w:tc>
          <w:tcPr>
            <w:tcW w:w="721" w:type="dxa"/>
            <w:vMerge w:val="restart"/>
            <w:shd w:val="clear" w:color="auto" w:fill="auto"/>
            <w:vAlign w:val="center"/>
          </w:tcPr>
          <w:p w:rsidR="00BB6420" w:rsidRPr="00607BAF" w:rsidRDefault="00BB6420" w:rsidP="006D1CB3">
            <w:pPr>
              <w:spacing w:line="240" w:lineRule="auto"/>
              <w:ind w:firstLine="0"/>
              <w:jc w:val="center"/>
              <w:rPr>
                <w:b/>
                <w:bCs/>
                <w:szCs w:val="26"/>
              </w:rPr>
            </w:pPr>
            <w:r w:rsidRPr="00607BAF">
              <w:rPr>
                <w:b/>
                <w:bCs/>
                <w:szCs w:val="26"/>
              </w:rPr>
              <w:t>TT</w:t>
            </w:r>
          </w:p>
        </w:tc>
        <w:tc>
          <w:tcPr>
            <w:tcW w:w="4281" w:type="dxa"/>
            <w:gridSpan w:val="2"/>
            <w:shd w:val="clear" w:color="auto" w:fill="auto"/>
            <w:vAlign w:val="center"/>
          </w:tcPr>
          <w:p w:rsidR="00BB6420" w:rsidRPr="00607BAF" w:rsidRDefault="00BB6420" w:rsidP="006D1CB3">
            <w:pPr>
              <w:spacing w:line="240" w:lineRule="auto"/>
              <w:ind w:firstLine="0"/>
              <w:jc w:val="center"/>
              <w:rPr>
                <w:b/>
                <w:bCs/>
                <w:szCs w:val="26"/>
              </w:rPr>
            </w:pPr>
            <w:r w:rsidRPr="00607BAF">
              <w:rPr>
                <w:b/>
                <w:bCs/>
                <w:szCs w:val="26"/>
              </w:rPr>
              <w:t>Thời gian áp dụng trong ngày và mức gia tốc rung (dB)</w:t>
            </w:r>
          </w:p>
        </w:tc>
        <w:tc>
          <w:tcPr>
            <w:tcW w:w="3326" w:type="dxa"/>
            <w:vMerge w:val="restart"/>
            <w:shd w:val="clear" w:color="auto" w:fill="auto"/>
            <w:vAlign w:val="center"/>
          </w:tcPr>
          <w:p w:rsidR="00BB6420" w:rsidRPr="00607BAF" w:rsidRDefault="00BB6420" w:rsidP="006D1CB3">
            <w:pPr>
              <w:spacing w:line="240" w:lineRule="auto"/>
              <w:ind w:firstLine="0"/>
              <w:jc w:val="center"/>
              <w:rPr>
                <w:b/>
                <w:bCs/>
                <w:szCs w:val="26"/>
              </w:rPr>
            </w:pPr>
            <w:r w:rsidRPr="00607BAF">
              <w:rPr>
                <w:b/>
                <w:bCs/>
                <w:szCs w:val="26"/>
              </w:rPr>
              <w:t>Ghi chú</w:t>
            </w:r>
          </w:p>
        </w:tc>
      </w:tr>
      <w:tr w:rsidR="00BB6420" w:rsidRPr="00607BAF" w:rsidTr="006D1CB3">
        <w:trPr>
          <w:trHeight w:val="392"/>
          <w:jc w:val="center"/>
        </w:trPr>
        <w:tc>
          <w:tcPr>
            <w:tcW w:w="721" w:type="dxa"/>
            <w:vMerge/>
            <w:shd w:val="clear" w:color="auto" w:fill="auto"/>
            <w:vAlign w:val="center"/>
          </w:tcPr>
          <w:p w:rsidR="00BB6420" w:rsidRPr="00607BAF" w:rsidRDefault="00BB6420" w:rsidP="006D1CB3">
            <w:pPr>
              <w:spacing w:line="240" w:lineRule="auto"/>
              <w:ind w:firstLine="0"/>
              <w:jc w:val="center"/>
              <w:rPr>
                <w:b/>
                <w:bCs/>
                <w:szCs w:val="26"/>
              </w:rPr>
            </w:pPr>
          </w:p>
        </w:tc>
        <w:tc>
          <w:tcPr>
            <w:tcW w:w="1982" w:type="dxa"/>
            <w:shd w:val="clear" w:color="auto" w:fill="auto"/>
            <w:vAlign w:val="center"/>
          </w:tcPr>
          <w:p w:rsidR="00BB6420" w:rsidRPr="00607BAF" w:rsidRDefault="00BB6420" w:rsidP="006D1CB3">
            <w:pPr>
              <w:spacing w:line="240" w:lineRule="auto"/>
              <w:ind w:firstLine="0"/>
              <w:jc w:val="center"/>
              <w:rPr>
                <w:b/>
                <w:bCs/>
                <w:szCs w:val="26"/>
              </w:rPr>
            </w:pPr>
            <w:r w:rsidRPr="00607BAF">
              <w:rPr>
                <w:b/>
                <w:bCs/>
                <w:szCs w:val="26"/>
              </w:rPr>
              <w:t>Từ 6-21 giờ</w:t>
            </w:r>
          </w:p>
        </w:tc>
        <w:tc>
          <w:tcPr>
            <w:tcW w:w="2299" w:type="dxa"/>
            <w:shd w:val="clear" w:color="auto" w:fill="auto"/>
            <w:vAlign w:val="center"/>
          </w:tcPr>
          <w:p w:rsidR="00BB6420" w:rsidRPr="00607BAF" w:rsidRDefault="00BB6420" w:rsidP="006D1CB3">
            <w:pPr>
              <w:spacing w:line="240" w:lineRule="auto"/>
              <w:ind w:firstLine="0"/>
              <w:jc w:val="center"/>
              <w:rPr>
                <w:b/>
                <w:bCs/>
                <w:szCs w:val="26"/>
              </w:rPr>
            </w:pPr>
            <w:r w:rsidRPr="00607BAF">
              <w:rPr>
                <w:b/>
                <w:bCs/>
                <w:szCs w:val="26"/>
              </w:rPr>
              <w:t>Từ 21-6 giờ</w:t>
            </w:r>
          </w:p>
        </w:tc>
        <w:tc>
          <w:tcPr>
            <w:tcW w:w="3326" w:type="dxa"/>
            <w:vMerge/>
            <w:shd w:val="clear" w:color="auto" w:fill="auto"/>
            <w:vAlign w:val="center"/>
          </w:tcPr>
          <w:p w:rsidR="00BB6420" w:rsidRPr="00607BAF" w:rsidRDefault="00BB6420" w:rsidP="006D1CB3">
            <w:pPr>
              <w:spacing w:line="240" w:lineRule="auto"/>
              <w:ind w:firstLine="0"/>
              <w:jc w:val="center"/>
              <w:rPr>
                <w:b/>
                <w:bCs/>
                <w:szCs w:val="26"/>
              </w:rPr>
            </w:pPr>
          </w:p>
        </w:tc>
      </w:tr>
      <w:tr w:rsidR="00BB6420" w:rsidRPr="00607BAF" w:rsidTr="006D1CB3">
        <w:trPr>
          <w:trHeight w:val="611"/>
          <w:jc w:val="center"/>
        </w:trPr>
        <w:tc>
          <w:tcPr>
            <w:tcW w:w="721" w:type="dxa"/>
            <w:shd w:val="clear" w:color="auto" w:fill="auto"/>
            <w:vAlign w:val="center"/>
          </w:tcPr>
          <w:p w:rsidR="00BB6420" w:rsidRPr="00607BAF" w:rsidRDefault="00BB6420" w:rsidP="006D1CB3">
            <w:pPr>
              <w:spacing w:line="240" w:lineRule="auto"/>
              <w:ind w:firstLine="0"/>
              <w:jc w:val="center"/>
              <w:rPr>
                <w:szCs w:val="26"/>
              </w:rPr>
            </w:pPr>
            <w:r w:rsidRPr="00607BAF">
              <w:rPr>
                <w:szCs w:val="26"/>
              </w:rPr>
              <w:t>1</w:t>
            </w:r>
          </w:p>
        </w:tc>
        <w:tc>
          <w:tcPr>
            <w:tcW w:w="1982" w:type="dxa"/>
            <w:shd w:val="clear" w:color="auto" w:fill="auto"/>
            <w:vAlign w:val="center"/>
          </w:tcPr>
          <w:p w:rsidR="00BB6420" w:rsidRPr="00607BAF" w:rsidRDefault="00BB6420" w:rsidP="006D1CB3">
            <w:pPr>
              <w:spacing w:line="240" w:lineRule="auto"/>
              <w:ind w:firstLine="0"/>
              <w:jc w:val="center"/>
              <w:rPr>
                <w:szCs w:val="26"/>
              </w:rPr>
            </w:pPr>
            <w:r w:rsidRPr="00607BAF">
              <w:rPr>
                <w:szCs w:val="26"/>
              </w:rPr>
              <w:t>70</w:t>
            </w:r>
          </w:p>
        </w:tc>
        <w:tc>
          <w:tcPr>
            <w:tcW w:w="2299" w:type="dxa"/>
            <w:shd w:val="clear" w:color="auto" w:fill="auto"/>
            <w:vAlign w:val="center"/>
          </w:tcPr>
          <w:p w:rsidR="00BB6420" w:rsidRPr="00607BAF" w:rsidRDefault="00BB6420" w:rsidP="006D1CB3">
            <w:pPr>
              <w:spacing w:line="240" w:lineRule="auto"/>
              <w:ind w:firstLine="0"/>
              <w:jc w:val="center"/>
              <w:rPr>
                <w:szCs w:val="26"/>
              </w:rPr>
            </w:pPr>
            <w:r w:rsidRPr="00607BAF">
              <w:rPr>
                <w:szCs w:val="26"/>
              </w:rPr>
              <w:t>60</w:t>
            </w:r>
          </w:p>
        </w:tc>
        <w:tc>
          <w:tcPr>
            <w:tcW w:w="3326" w:type="dxa"/>
            <w:shd w:val="clear" w:color="auto" w:fill="auto"/>
            <w:vAlign w:val="center"/>
          </w:tcPr>
          <w:p w:rsidR="00BB6420" w:rsidRPr="00607BAF" w:rsidRDefault="00BB6420" w:rsidP="006D1CB3">
            <w:pPr>
              <w:spacing w:line="240" w:lineRule="auto"/>
              <w:ind w:firstLine="0"/>
              <w:jc w:val="center"/>
              <w:rPr>
                <w:szCs w:val="26"/>
              </w:rPr>
            </w:pPr>
            <w:r w:rsidRPr="00607BAF">
              <w:rPr>
                <w:szCs w:val="26"/>
              </w:rPr>
              <w:t>Khu vực thông thường</w:t>
            </w:r>
          </w:p>
        </w:tc>
      </w:tr>
      <w:bookmarkEnd w:id="65"/>
    </w:tbl>
    <w:p w:rsidR="00BB6420" w:rsidRPr="00607BAF" w:rsidRDefault="00BB6420" w:rsidP="00EA23D4">
      <w:pPr>
        <w:rPr>
          <w:szCs w:val="26"/>
        </w:rPr>
      </w:pPr>
    </w:p>
    <w:sectPr w:rsidR="00BB6420" w:rsidRPr="00607BAF" w:rsidSect="007D752A">
      <w:pgSz w:w="11910" w:h="16850"/>
      <w:pgMar w:top="1134" w:right="1134" w:bottom="1134" w:left="1701" w:header="573"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FD3"/>
    <w:multiLevelType w:val="hybridMultilevel"/>
    <w:tmpl w:val="7728B22E"/>
    <w:lvl w:ilvl="0" w:tplc="437C5A8C">
      <w:start w:val="1"/>
      <w:numFmt w:val="bullet"/>
      <w:pStyle w:val="a"/>
      <w:suff w:val="space"/>
      <w:lvlText w:val="-"/>
      <w:lvlJc w:val="left"/>
      <w:pPr>
        <w:ind w:left="426" w:firstLine="0"/>
      </w:pPr>
      <w:rPr>
        <w:rFonts w:ascii="Times New Roman" w:hAnsi="Times New Roman" w:cs="Times New Roman" w:hint="default"/>
        <w:vertAlign w:val="baseline"/>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20"/>
    <w:rsid w:val="00055F3D"/>
    <w:rsid w:val="003221B7"/>
    <w:rsid w:val="00482A9C"/>
    <w:rsid w:val="007D752A"/>
    <w:rsid w:val="00BB6420"/>
    <w:rsid w:val="00DE39F5"/>
    <w:rsid w:val="00EA23D4"/>
    <w:rsid w:val="00F112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20"/>
    <w:pPr>
      <w:spacing w:after="120" w:line="288" w:lineRule="auto"/>
      <w:ind w:firstLine="567"/>
      <w:jc w:val="both"/>
    </w:pPr>
    <w:rPr>
      <w:rFonts w:ascii="Times New Roman" w:eastAsia="Times New Roman" w:hAnsi="Times New Roman" w:cs="Times New Roman"/>
      <w:sz w:val="26"/>
      <w:szCs w:val="24"/>
      <w:lang w:eastAsia="zh-CN"/>
    </w:rPr>
  </w:style>
  <w:style w:type="paragraph" w:styleId="Heading1">
    <w:name w:val="heading 1"/>
    <w:basedOn w:val="Normal"/>
    <w:next w:val="Normal"/>
    <w:link w:val="Heading1Char"/>
    <w:uiPriority w:val="9"/>
    <w:qFormat/>
    <w:rsid w:val="00BB6420"/>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B6420"/>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B6420"/>
    <w:pPr>
      <w:keepNext/>
      <w:keepLines/>
      <w:ind w:firstLine="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420"/>
    <w:rPr>
      <w:rFonts w:ascii="Times New Roman" w:eastAsiaTheme="majorEastAsia" w:hAnsi="Times New Roman" w:cstheme="majorBidi"/>
      <w:b/>
      <w:sz w:val="26"/>
      <w:szCs w:val="32"/>
      <w:lang w:eastAsia="zh-CN"/>
    </w:rPr>
  </w:style>
  <w:style w:type="character" w:customStyle="1" w:styleId="Heading2Char">
    <w:name w:val="Heading 2 Char"/>
    <w:basedOn w:val="DefaultParagraphFont"/>
    <w:link w:val="Heading2"/>
    <w:uiPriority w:val="9"/>
    <w:rsid w:val="00BB6420"/>
    <w:rPr>
      <w:rFonts w:ascii="Times New Roman" w:eastAsiaTheme="majorEastAsia" w:hAnsi="Times New Roman" w:cstheme="majorBidi"/>
      <w:b/>
      <w:sz w:val="26"/>
      <w:szCs w:val="26"/>
      <w:lang w:eastAsia="zh-CN"/>
    </w:rPr>
  </w:style>
  <w:style w:type="character" w:customStyle="1" w:styleId="Heading3Char">
    <w:name w:val="Heading 3 Char"/>
    <w:basedOn w:val="DefaultParagraphFont"/>
    <w:link w:val="Heading3"/>
    <w:uiPriority w:val="9"/>
    <w:rsid w:val="00BB6420"/>
    <w:rPr>
      <w:rFonts w:ascii="Times New Roman" w:eastAsiaTheme="majorEastAsia" w:hAnsi="Times New Roman" w:cstheme="majorBidi"/>
      <w:b/>
      <w:sz w:val="26"/>
      <w:szCs w:val="24"/>
      <w:lang w:eastAsia="zh-CN"/>
    </w:rPr>
  </w:style>
  <w:style w:type="paragraph" w:customStyle="1" w:styleId="a">
    <w:name w:val="a"/>
    <w:basedOn w:val="ListParagraph"/>
    <w:qFormat/>
    <w:rsid w:val="00BB6420"/>
    <w:pPr>
      <w:numPr>
        <w:numId w:val="1"/>
      </w:numPr>
      <w:tabs>
        <w:tab w:val="num" w:pos="360"/>
      </w:tabs>
      <w:ind w:left="0" w:firstLine="397"/>
      <w:contextualSpacing w:val="0"/>
    </w:pPr>
  </w:style>
  <w:style w:type="paragraph" w:styleId="Caption">
    <w:name w:val="caption"/>
    <w:aliases w:val="Caption Char1 Char,Caption Char Char Char,Caption Char Char Char Char Char Char Char Char,Caption Char Char Char Char Char Char1 Char,Caption Char Char Char Char Char,Caption (table) Char Char,Caption (tab Char Char,Caption (tab Cha,Map,Cation"/>
    <w:basedOn w:val="Normal"/>
    <w:next w:val="Normal"/>
    <w:link w:val="CaptionChar"/>
    <w:unhideWhenUsed/>
    <w:qFormat/>
    <w:rsid w:val="00BB6420"/>
    <w:pPr>
      <w:spacing w:after="200" w:line="240" w:lineRule="auto"/>
    </w:pPr>
    <w:rPr>
      <w:i/>
      <w:iCs/>
      <w:color w:val="1F497D" w:themeColor="text2"/>
      <w:sz w:val="18"/>
      <w:szCs w:val="18"/>
    </w:rPr>
  </w:style>
  <w:style w:type="character" w:customStyle="1" w:styleId="CaptionChar">
    <w:name w:val="Caption Char"/>
    <w:aliases w:val="Caption Char1 Char Char,Caption Char Char Char Char,Caption Char Char Char Char Char Char Char Char Char,Caption Char Char Char Char Char Char1 Char Char,Caption Char Char Char Char Char Char,Caption (table) Char Char Char,Map Char"/>
    <w:link w:val="Caption"/>
    <w:qFormat/>
    <w:rsid w:val="00BB6420"/>
    <w:rPr>
      <w:rFonts w:ascii="Times New Roman" w:eastAsia="Times New Roman" w:hAnsi="Times New Roman" w:cs="Times New Roman"/>
      <w:i/>
      <w:iCs/>
      <w:color w:val="1F497D" w:themeColor="text2"/>
      <w:sz w:val="18"/>
      <w:szCs w:val="18"/>
      <w:lang w:eastAsia="zh-CN"/>
    </w:rPr>
  </w:style>
  <w:style w:type="character" w:customStyle="1" w:styleId="Vnbnnidung">
    <w:name w:val="Văn bản nội dung_"/>
    <w:link w:val="Vnbnnidung0"/>
    <w:uiPriority w:val="99"/>
    <w:rsid w:val="00BB6420"/>
  </w:style>
  <w:style w:type="paragraph" w:customStyle="1" w:styleId="Vnbnnidung0">
    <w:name w:val="Văn bản nội dung"/>
    <w:basedOn w:val="Normal"/>
    <w:link w:val="Vnbnnidung"/>
    <w:uiPriority w:val="99"/>
    <w:rsid w:val="00BB6420"/>
    <w:pPr>
      <w:widowControl w:val="0"/>
      <w:spacing w:before="120" w:after="100" w:line="271" w:lineRule="auto"/>
      <w:ind w:firstLine="400"/>
    </w:pPr>
    <w:rPr>
      <w:rFonts w:asciiTheme="minorHAnsi" w:eastAsiaTheme="minorHAnsi" w:hAnsiTheme="minorHAnsi" w:cstheme="minorBidi"/>
      <w:sz w:val="22"/>
      <w:szCs w:val="22"/>
      <w:lang w:eastAsia="en-US"/>
    </w:rPr>
  </w:style>
  <w:style w:type="character" w:customStyle="1" w:styleId="Tiu2">
    <w:name w:val="Tiêu đề #2_"/>
    <w:link w:val="Tiu20"/>
    <w:uiPriority w:val="99"/>
    <w:rsid w:val="00BB6420"/>
    <w:rPr>
      <w:b/>
      <w:bCs/>
    </w:rPr>
  </w:style>
  <w:style w:type="paragraph" w:customStyle="1" w:styleId="Tiu20">
    <w:name w:val="Tiêu đề #2"/>
    <w:basedOn w:val="Normal"/>
    <w:link w:val="Tiu2"/>
    <w:uiPriority w:val="99"/>
    <w:rsid w:val="00BB6420"/>
    <w:pPr>
      <w:widowControl w:val="0"/>
      <w:spacing w:before="120" w:after="160" w:line="266" w:lineRule="auto"/>
      <w:ind w:firstLine="562"/>
      <w:jc w:val="center"/>
      <w:outlineLvl w:val="1"/>
    </w:pPr>
    <w:rPr>
      <w:rFonts w:asciiTheme="minorHAnsi" w:eastAsiaTheme="minorHAnsi" w:hAnsiTheme="minorHAnsi" w:cstheme="minorBidi"/>
      <w:b/>
      <w:bCs/>
      <w:sz w:val="22"/>
      <w:szCs w:val="22"/>
      <w:lang w:eastAsia="en-US"/>
    </w:rPr>
  </w:style>
  <w:style w:type="paragraph" w:styleId="ListParagraph">
    <w:name w:val="List Paragraph"/>
    <w:basedOn w:val="Normal"/>
    <w:uiPriority w:val="34"/>
    <w:qFormat/>
    <w:rsid w:val="00BB6420"/>
    <w:pPr>
      <w:ind w:left="720"/>
      <w:contextualSpacing/>
    </w:pPr>
  </w:style>
  <w:style w:type="paragraph" w:styleId="BalloonText">
    <w:name w:val="Balloon Text"/>
    <w:basedOn w:val="Normal"/>
    <w:link w:val="BalloonTextChar"/>
    <w:uiPriority w:val="99"/>
    <w:semiHidden/>
    <w:unhideWhenUsed/>
    <w:rsid w:val="00BB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420"/>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20"/>
    <w:pPr>
      <w:spacing w:after="120" w:line="288" w:lineRule="auto"/>
      <w:ind w:firstLine="567"/>
      <w:jc w:val="both"/>
    </w:pPr>
    <w:rPr>
      <w:rFonts w:ascii="Times New Roman" w:eastAsia="Times New Roman" w:hAnsi="Times New Roman" w:cs="Times New Roman"/>
      <w:sz w:val="26"/>
      <w:szCs w:val="24"/>
      <w:lang w:eastAsia="zh-CN"/>
    </w:rPr>
  </w:style>
  <w:style w:type="paragraph" w:styleId="Heading1">
    <w:name w:val="heading 1"/>
    <w:basedOn w:val="Normal"/>
    <w:next w:val="Normal"/>
    <w:link w:val="Heading1Char"/>
    <w:uiPriority w:val="9"/>
    <w:qFormat/>
    <w:rsid w:val="00BB6420"/>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B6420"/>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B6420"/>
    <w:pPr>
      <w:keepNext/>
      <w:keepLines/>
      <w:ind w:firstLine="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420"/>
    <w:rPr>
      <w:rFonts w:ascii="Times New Roman" w:eastAsiaTheme="majorEastAsia" w:hAnsi="Times New Roman" w:cstheme="majorBidi"/>
      <w:b/>
      <w:sz w:val="26"/>
      <w:szCs w:val="32"/>
      <w:lang w:eastAsia="zh-CN"/>
    </w:rPr>
  </w:style>
  <w:style w:type="character" w:customStyle="1" w:styleId="Heading2Char">
    <w:name w:val="Heading 2 Char"/>
    <w:basedOn w:val="DefaultParagraphFont"/>
    <w:link w:val="Heading2"/>
    <w:uiPriority w:val="9"/>
    <w:rsid w:val="00BB6420"/>
    <w:rPr>
      <w:rFonts w:ascii="Times New Roman" w:eastAsiaTheme="majorEastAsia" w:hAnsi="Times New Roman" w:cstheme="majorBidi"/>
      <w:b/>
      <w:sz w:val="26"/>
      <w:szCs w:val="26"/>
      <w:lang w:eastAsia="zh-CN"/>
    </w:rPr>
  </w:style>
  <w:style w:type="character" w:customStyle="1" w:styleId="Heading3Char">
    <w:name w:val="Heading 3 Char"/>
    <w:basedOn w:val="DefaultParagraphFont"/>
    <w:link w:val="Heading3"/>
    <w:uiPriority w:val="9"/>
    <w:rsid w:val="00BB6420"/>
    <w:rPr>
      <w:rFonts w:ascii="Times New Roman" w:eastAsiaTheme="majorEastAsia" w:hAnsi="Times New Roman" w:cstheme="majorBidi"/>
      <w:b/>
      <w:sz w:val="26"/>
      <w:szCs w:val="24"/>
      <w:lang w:eastAsia="zh-CN"/>
    </w:rPr>
  </w:style>
  <w:style w:type="paragraph" w:customStyle="1" w:styleId="a">
    <w:name w:val="a"/>
    <w:basedOn w:val="ListParagraph"/>
    <w:qFormat/>
    <w:rsid w:val="00BB6420"/>
    <w:pPr>
      <w:numPr>
        <w:numId w:val="1"/>
      </w:numPr>
      <w:tabs>
        <w:tab w:val="num" w:pos="360"/>
      </w:tabs>
      <w:ind w:left="0" w:firstLine="397"/>
      <w:contextualSpacing w:val="0"/>
    </w:pPr>
  </w:style>
  <w:style w:type="paragraph" w:styleId="Caption">
    <w:name w:val="caption"/>
    <w:aliases w:val="Caption Char1 Char,Caption Char Char Char,Caption Char Char Char Char Char Char Char Char,Caption Char Char Char Char Char Char1 Char,Caption Char Char Char Char Char,Caption (table) Char Char,Caption (tab Char Char,Caption (tab Cha,Map,Cation"/>
    <w:basedOn w:val="Normal"/>
    <w:next w:val="Normal"/>
    <w:link w:val="CaptionChar"/>
    <w:unhideWhenUsed/>
    <w:qFormat/>
    <w:rsid w:val="00BB6420"/>
    <w:pPr>
      <w:spacing w:after="200" w:line="240" w:lineRule="auto"/>
    </w:pPr>
    <w:rPr>
      <w:i/>
      <w:iCs/>
      <w:color w:val="1F497D" w:themeColor="text2"/>
      <w:sz w:val="18"/>
      <w:szCs w:val="18"/>
    </w:rPr>
  </w:style>
  <w:style w:type="character" w:customStyle="1" w:styleId="CaptionChar">
    <w:name w:val="Caption Char"/>
    <w:aliases w:val="Caption Char1 Char Char,Caption Char Char Char Char,Caption Char Char Char Char Char Char Char Char Char,Caption Char Char Char Char Char Char1 Char Char,Caption Char Char Char Char Char Char,Caption (table) Char Char Char,Map Char"/>
    <w:link w:val="Caption"/>
    <w:qFormat/>
    <w:rsid w:val="00BB6420"/>
    <w:rPr>
      <w:rFonts w:ascii="Times New Roman" w:eastAsia="Times New Roman" w:hAnsi="Times New Roman" w:cs="Times New Roman"/>
      <w:i/>
      <w:iCs/>
      <w:color w:val="1F497D" w:themeColor="text2"/>
      <w:sz w:val="18"/>
      <w:szCs w:val="18"/>
      <w:lang w:eastAsia="zh-CN"/>
    </w:rPr>
  </w:style>
  <w:style w:type="character" w:customStyle="1" w:styleId="Vnbnnidung">
    <w:name w:val="Văn bản nội dung_"/>
    <w:link w:val="Vnbnnidung0"/>
    <w:uiPriority w:val="99"/>
    <w:rsid w:val="00BB6420"/>
  </w:style>
  <w:style w:type="paragraph" w:customStyle="1" w:styleId="Vnbnnidung0">
    <w:name w:val="Văn bản nội dung"/>
    <w:basedOn w:val="Normal"/>
    <w:link w:val="Vnbnnidung"/>
    <w:uiPriority w:val="99"/>
    <w:rsid w:val="00BB6420"/>
    <w:pPr>
      <w:widowControl w:val="0"/>
      <w:spacing w:before="120" w:after="100" w:line="271" w:lineRule="auto"/>
      <w:ind w:firstLine="400"/>
    </w:pPr>
    <w:rPr>
      <w:rFonts w:asciiTheme="minorHAnsi" w:eastAsiaTheme="minorHAnsi" w:hAnsiTheme="minorHAnsi" w:cstheme="minorBidi"/>
      <w:sz w:val="22"/>
      <w:szCs w:val="22"/>
      <w:lang w:eastAsia="en-US"/>
    </w:rPr>
  </w:style>
  <w:style w:type="character" w:customStyle="1" w:styleId="Tiu2">
    <w:name w:val="Tiêu đề #2_"/>
    <w:link w:val="Tiu20"/>
    <w:uiPriority w:val="99"/>
    <w:rsid w:val="00BB6420"/>
    <w:rPr>
      <w:b/>
      <w:bCs/>
    </w:rPr>
  </w:style>
  <w:style w:type="paragraph" w:customStyle="1" w:styleId="Tiu20">
    <w:name w:val="Tiêu đề #2"/>
    <w:basedOn w:val="Normal"/>
    <w:link w:val="Tiu2"/>
    <w:uiPriority w:val="99"/>
    <w:rsid w:val="00BB6420"/>
    <w:pPr>
      <w:widowControl w:val="0"/>
      <w:spacing w:before="120" w:after="160" w:line="266" w:lineRule="auto"/>
      <w:ind w:firstLine="562"/>
      <w:jc w:val="center"/>
      <w:outlineLvl w:val="1"/>
    </w:pPr>
    <w:rPr>
      <w:rFonts w:asciiTheme="minorHAnsi" w:eastAsiaTheme="minorHAnsi" w:hAnsiTheme="minorHAnsi" w:cstheme="minorBidi"/>
      <w:b/>
      <w:bCs/>
      <w:sz w:val="22"/>
      <w:szCs w:val="22"/>
      <w:lang w:eastAsia="en-US"/>
    </w:rPr>
  </w:style>
  <w:style w:type="paragraph" w:styleId="ListParagraph">
    <w:name w:val="List Paragraph"/>
    <w:basedOn w:val="Normal"/>
    <w:uiPriority w:val="34"/>
    <w:qFormat/>
    <w:rsid w:val="00BB6420"/>
    <w:pPr>
      <w:ind w:left="720"/>
      <w:contextualSpacing/>
    </w:pPr>
  </w:style>
  <w:style w:type="paragraph" w:styleId="BalloonText">
    <w:name w:val="Balloon Text"/>
    <w:basedOn w:val="Normal"/>
    <w:link w:val="BalloonTextChar"/>
    <w:uiPriority w:val="99"/>
    <w:semiHidden/>
    <w:unhideWhenUsed/>
    <w:rsid w:val="00BB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420"/>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may01</dc:creator>
  <cp:lastModifiedBy>may01</cp:lastModifiedBy>
  <cp:revision>3</cp:revision>
  <dcterms:created xsi:type="dcterms:W3CDTF">2023-02-03T07:10:00Z</dcterms:created>
  <dcterms:modified xsi:type="dcterms:W3CDTF">2023-02-03T07:19:00Z</dcterms:modified>
</cp:coreProperties>
</file>